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83C36" w14:textId="77777777" w:rsidR="003933EE" w:rsidRDefault="009C70D9" w:rsidP="003933EE">
      <w:pPr>
        <w:pStyle w:val="Title"/>
        <w:jc w:val="center"/>
        <w:rPr>
          <w:rFonts w:asciiTheme="minorHAnsi" w:hAnsiTheme="minorHAnsi" w:cstheme="minorHAnsi"/>
          <w:b/>
          <w:bCs/>
          <w:sz w:val="28"/>
          <w:szCs w:val="28"/>
        </w:rPr>
      </w:pPr>
      <w:bookmarkStart w:id="0" w:name="_Hlk129163361"/>
      <w:r w:rsidRPr="00254010">
        <w:rPr>
          <w:rFonts w:asciiTheme="minorHAnsi" w:hAnsiTheme="minorHAnsi" w:cstheme="minorHAnsi"/>
          <w:noProof/>
          <w:sz w:val="22"/>
          <w:szCs w:val="22"/>
        </w:rPr>
        <w:drawing>
          <wp:inline distT="0" distB="0" distL="0" distR="0" wp14:anchorId="395BA5FA" wp14:editId="55C14E24">
            <wp:extent cx="1199626" cy="1371600"/>
            <wp:effectExtent l="0" t="0" r="635"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4870" cy="1377596"/>
                    </a:xfrm>
                    <a:prstGeom prst="rect">
                      <a:avLst/>
                    </a:prstGeom>
                  </pic:spPr>
                </pic:pic>
              </a:graphicData>
            </a:graphic>
          </wp:inline>
        </w:drawing>
      </w:r>
    </w:p>
    <w:p w14:paraId="0A2E15E7" w14:textId="6DBA04B0" w:rsidR="00F330D4" w:rsidRPr="00A57697" w:rsidRDefault="003D0A63" w:rsidP="00F330D4">
      <w:pPr>
        <w:pStyle w:val="Title"/>
        <w:jc w:val="center"/>
        <w:rPr>
          <w:b/>
          <w:bCs/>
          <w:sz w:val="44"/>
          <w:szCs w:val="44"/>
        </w:rPr>
      </w:pPr>
      <w:r w:rsidRPr="00A57697">
        <w:rPr>
          <w:b/>
          <w:bCs/>
          <w:sz w:val="44"/>
          <w:szCs w:val="44"/>
        </w:rPr>
        <w:t>Lead Service Line Inventory</w:t>
      </w:r>
    </w:p>
    <w:p w14:paraId="048FA4BB" w14:textId="3D5E8250" w:rsidR="00F818F5" w:rsidRPr="00A57697" w:rsidRDefault="00F330D4" w:rsidP="00F330D4">
      <w:pPr>
        <w:pStyle w:val="Title"/>
        <w:jc w:val="center"/>
        <w:rPr>
          <w:b/>
          <w:bCs/>
          <w:sz w:val="44"/>
          <w:szCs w:val="44"/>
        </w:rPr>
      </w:pPr>
      <w:r w:rsidRPr="00A57697">
        <w:rPr>
          <w:b/>
          <w:bCs/>
          <w:sz w:val="44"/>
          <w:szCs w:val="44"/>
        </w:rPr>
        <w:t xml:space="preserve">Funding </w:t>
      </w:r>
      <w:r w:rsidR="00F818F5" w:rsidRPr="00A57697">
        <w:rPr>
          <w:b/>
          <w:bCs/>
          <w:sz w:val="44"/>
          <w:szCs w:val="44"/>
        </w:rPr>
        <w:t>Program</w:t>
      </w:r>
    </w:p>
    <w:p w14:paraId="3BBC33C3" w14:textId="73E3C87F" w:rsidR="003D0A63" w:rsidRPr="00A57697" w:rsidRDefault="00F818F5" w:rsidP="00F330D4">
      <w:pPr>
        <w:pStyle w:val="Title"/>
        <w:jc w:val="center"/>
        <w:rPr>
          <w:b/>
          <w:bCs/>
          <w:sz w:val="44"/>
          <w:szCs w:val="44"/>
        </w:rPr>
      </w:pPr>
      <w:r w:rsidRPr="00A57697">
        <w:rPr>
          <w:b/>
          <w:bCs/>
          <w:sz w:val="44"/>
          <w:szCs w:val="44"/>
        </w:rPr>
        <w:t>Guidance</w:t>
      </w:r>
      <w:r w:rsidR="00F330D4" w:rsidRPr="00A57697">
        <w:rPr>
          <w:b/>
          <w:bCs/>
          <w:sz w:val="44"/>
          <w:szCs w:val="44"/>
        </w:rPr>
        <w:t xml:space="preserve"> </w:t>
      </w:r>
    </w:p>
    <w:p w14:paraId="2A426493" w14:textId="2C9EC76E" w:rsidR="00F818F5" w:rsidRDefault="00F818F5" w:rsidP="00F818F5"/>
    <w:p w14:paraId="6255A0B9" w14:textId="3DBCC970" w:rsidR="00A57697" w:rsidRDefault="00A57697" w:rsidP="00075BB8">
      <w:pPr>
        <w:jc w:val="center"/>
        <w:rPr>
          <w:b/>
          <w:bCs/>
        </w:rPr>
      </w:pPr>
      <w:r w:rsidRPr="00075BB8">
        <w:rPr>
          <w:b/>
          <w:bCs/>
        </w:rPr>
        <w:t xml:space="preserve">Last updated: </w:t>
      </w:r>
      <w:r w:rsidR="00246D2B" w:rsidRPr="00246D2B">
        <w:rPr>
          <w:b/>
          <w:bCs/>
          <w:highlight w:val="yellow"/>
        </w:rPr>
        <w:t>January 2024</w:t>
      </w:r>
    </w:p>
    <w:p w14:paraId="28FEBFEB" w14:textId="24D0926D" w:rsidR="005F140B" w:rsidRPr="00075BB8" w:rsidRDefault="005F140B" w:rsidP="00075BB8">
      <w:pPr>
        <w:jc w:val="center"/>
        <w:rPr>
          <w:b/>
          <w:bCs/>
        </w:rPr>
      </w:pPr>
      <w:r w:rsidRPr="005F140B">
        <w:rPr>
          <w:b/>
          <w:bCs/>
          <w:highlight w:val="yellow"/>
        </w:rPr>
        <w:t>New information has been highlighted yellow</w:t>
      </w:r>
      <w:r>
        <w:rPr>
          <w:b/>
          <w:bCs/>
        </w:rPr>
        <w:t>.</w:t>
      </w:r>
    </w:p>
    <w:bookmarkEnd w:id="0"/>
    <w:p w14:paraId="672C6154" w14:textId="061E9FD5" w:rsidR="00A57697" w:rsidRDefault="00947D0A" w:rsidP="00F818F5">
      <w:r>
        <w:rPr>
          <w:b/>
          <w:bCs/>
          <w:noProof/>
        </w:rPr>
        <mc:AlternateContent>
          <mc:Choice Requires="wps">
            <w:drawing>
              <wp:anchor distT="0" distB="0" distL="114300" distR="114300" simplePos="0" relativeHeight="251659264" behindDoc="0" locked="0" layoutInCell="1" allowOverlap="1" wp14:anchorId="2B457FFF" wp14:editId="5B8C0CE4">
                <wp:simplePos x="0" y="0"/>
                <wp:positionH relativeFrom="column">
                  <wp:posOffset>0</wp:posOffset>
                </wp:positionH>
                <wp:positionV relativeFrom="paragraph">
                  <wp:posOffset>53340</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1F6C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2pt" to="7in,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" strokecolor="#4472c4 [3204]" strokeweight=".5pt">
                <v:stroke joinstyle="miter"/>
              </v:line>
            </w:pict>
          </mc:Fallback>
        </mc:AlternateContent>
      </w:r>
    </w:p>
    <w:p w14:paraId="3E550CDA" w14:textId="186F0A08" w:rsidR="00F818F5" w:rsidRPr="00B7325F" w:rsidRDefault="00B7325F" w:rsidP="0026729C">
      <w:pPr>
        <w:spacing w:after="0"/>
      </w:pPr>
      <w:r w:rsidRPr="00B7325F">
        <w:t>TABLE OF CONTENTS</w:t>
      </w:r>
    </w:p>
    <w:p w14:paraId="3F0FFFB3" w14:textId="6AAAD005" w:rsidR="00F818F5" w:rsidRDefault="006C28C3" w:rsidP="0026729C">
      <w:pPr>
        <w:spacing w:after="0"/>
      </w:pPr>
      <w:r>
        <w:t xml:space="preserve">Section 1: </w:t>
      </w:r>
      <w:hyperlink w:anchor="_Section_1:_Overview" w:history="1">
        <w:r w:rsidR="00F818F5" w:rsidRPr="00902825">
          <w:rPr>
            <w:rStyle w:val="Hyperlink"/>
          </w:rPr>
          <w:t>Overview</w:t>
        </w:r>
        <w:r w:rsidR="005D3BBE" w:rsidRPr="00902825">
          <w:rPr>
            <w:rStyle w:val="Hyperlink"/>
          </w:rPr>
          <w:t xml:space="preserve"> and Goals</w:t>
        </w:r>
      </w:hyperlink>
    </w:p>
    <w:p w14:paraId="410DB1B7" w14:textId="35FB3964" w:rsidR="004305A5" w:rsidRPr="007F5DF7" w:rsidRDefault="006C28C3" w:rsidP="0026729C">
      <w:pPr>
        <w:spacing w:after="0"/>
        <w:rPr>
          <w:rStyle w:val="Hyperlink"/>
        </w:rPr>
      </w:pPr>
      <w:r>
        <w:t xml:space="preserve">Section 2: </w:t>
      </w:r>
      <w:r w:rsidR="007F5DF7">
        <w:fldChar w:fldCharType="begin"/>
      </w:r>
      <w:r w:rsidR="007F5DF7">
        <w:instrText xml:space="preserve"> HYPERLINK  \l "_Section_2:_Eligible" </w:instrText>
      </w:r>
      <w:r w:rsidR="007F5DF7">
        <w:fldChar w:fldCharType="separate"/>
      </w:r>
      <w:r w:rsidR="004305A5" w:rsidRPr="007F5DF7">
        <w:rPr>
          <w:rStyle w:val="Hyperlink"/>
        </w:rPr>
        <w:t xml:space="preserve">Eligible Project Activities </w:t>
      </w:r>
    </w:p>
    <w:p w14:paraId="77E426D1" w14:textId="1B3DCC82" w:rsidR="007F5DF7" w:rsidRDefault="007F5DF7" w:rsidP="0026729C">
      <w:pPr>
        <w:spacing w:after="0"/>
      </w:pPr>
      <w:r>
        <w:fldChar w:fldCharType="end"/>
      </w:r>
      <w:r w:rsidR="006C28C3">
        <w:t xml:space="preserve">Section 3: </w:t>
      </w:r>
      <w:hyperlink w:anchor="_Section_3:_Available" w:history="1">
        <w:r w:rsidRPr="007F5DF7">
          <w:rPr>
            <w:rStyle w:val="Hyperlink"/>
          </w:rPr>
          <w:t>Available Funding Levels</w:t>
        </w:r>
      </w:hyperlink>
    </w:p>
    <w:p w14:paraId="458D2F4D" w14:textId="5BD12970" w:rsidR="000E474A" w:rsidRDefault="007F5DF7" w:rsidP="0026729C">
      <w:pPr>
        <w:spacing w:after="0"/>
      </w:pPr>
      <w:r>
        <w:t xml:space="preserve">Section 4: </w:t>
      </w:r>
      <w:hyperlink w:anchor="_Section_4:_Application" w:history="1">
        <w:r w:rsidR="00B7325F" w:rsidRPr="00B7325F">
          <w:rPr>
            <w:rStyle w:val="Hyperlink"/>
          </w:rPr>
          <w:t xml:space="preserve">Application Process for </w:t>
        </w:r>
        <w:r w:rsidR="00576E8A">
          <w:rPr>
            <w:rStyle w:val="Hyperlink"/>
          </w:rPr>
          <w:t xml:space="preserve">All </w:t>
        </w:r>
        <w:r w:rsidR="00B7325F" w:rsidRPr="00B7325F">
          <w:rPr>
            <w:rStyle w:val="Hyperlink"/>
          </w:rPr>
          <w:t>Project</w:t>
        </w:r>
        <w:r w:rsidR="00576E8A">
          <w:rPr>
            <w:rStyle w:val="Hyperlink"/>
          </w:rPr>
          <w:t xml:space="preserve"> Type</w:t>
        </w:r>
        <w:r w:rsidR="00B7325F" w:rsidRPr="00B7325F">
          <w:rPr>
            <w:rStyle w:val="Hyperlink"/>
          </w:rPr>
          <w:t>s</w:t>
        </w:r>
      </w:hyperlink>
    </w:p>
    <w:p w14:paraId="7CF5DC52" w14:textId="38C44DEC" w:rsidR="000E474A" w:rsidRDefault="007F5DF7" w:rsidP="0026729C">
      <w:pPr>
        <w:spacing w:after="0"/>
      </w:pPr>
      <w:r>
        <w:t xml:space="preserve">Section 5: </w:t>
      </w:r>
      <w:hyperlink w:anchor="_Section_6:_Disbursements" w:history="1">
        <w:r w:rsidR="00576E8A" w:rsidRPr="0066015B">
          <w:rPr>
            <w:rStyle w:val="Hyperlink"/>
          </w:rPr>
          <w:t>Disbursements</w:t>
        </w:r>
      </w:hyperlink>
    </w:p>
    <w:p w14:paraId="029111BF" w14:textId="36ED051B" w:rsidR="0066015B" w:rsidRDefault="007F5DF7" w:rsidP="0026729C">
      <w:pPr>
        <w:spacing w:after="0"/>
      </w:pPr>
      <w:r>
        <w:t>Section 6:</w:t>
      </w:r>
      <w:r w:rsidR="00576E8A">
        <w:t xml:space="preserve"> </w:t>
      </w:r>
      <w:hyperlink w:anchor="_Section_7:_Scoring_1" w:history="1">
        <w:r w:rsidR="00576E8A" w:rsidRPr="00576E8A">
          <w:rPr>
            <w:rStyle w:val="Hyperlink"/>
          </w:rPr>
          <w:t xml:space="preserve">Scoring Criteria </w:t>
        </w:r>
      </w:hyperlink>
    </w:p>
    <w:p w14:paraId="126275FA" w14:textId="7CD0C67B" w:rsidR="0066015B" w:rsidRDefault="007F5DF7" w:rsidP="0026729C">
      <w:pPr>
        <w:spacing w:after="0"/>
      </w:pPr>
      <w:r>
        <w:t xml:space="preserve">Section </w:t>
      </w:r>
      <w:r w:rsidR="00576E8A">
        <w:t>7</w:t>
      </w:r>
      <w:r>
        <w:t xml:space="preserve">: </w:t>
      </w:r>
      <w:hyperlink w:anchor="_Section_8:_Funding_1" w:history="1">
        <w:r w:rsidRPr="009105EE">
          <w:rPr>
            <w:rStyle w:val="Hyperlink"/>
          </w:rPr>
          <w:t>Funding Rounds and Deadlines</w:t>
        </w:r>
      </w:hyperlink>
    </w:p>
    <w:p w14:paraId="27F49EFB" w14:textId="77777777" w:rsidR="00462337" w:rsidRDefault="00462337" w:rsidP="0026729C">
      <w:pPr>
        <w:spacing w:after="0"/>
      </w:pPr>
    </w:p>
    <w:p w14:paraId="4198DC9D" w14:textId="2EBD1C54" w:rsidR="00462337" w:rsidRPr="00462337" w:rsidRDefault="00462337" w:rsidP="0026729C">
      <w:pPr>
        <w:spacing w:after="0"/>
      </w:pPr>
      <w:r>
        <w:t>T</w:t>
      </w:r>
      <w:r w:rsidRPr="00462337">
        <w:t>ABLES</w:t>
      </w:r>
    </w:p>
    <w:p w14:paraId="6C8D35B4" w14:textId="71193E70" w:rsidR="00F818F5" w:rsidRPr="00722A9B" w:rsidRDefault="00462337" w:rsidP="00722A9B">
      <w:pPr>
        <w:spacing w:after="0"/>
        <w:ind w:left="810" w:hanging="810"/>
        <w:rPr>
          <w:rFonts w:eastAsia="Times New Roman" w:cstheme="minorHAnsi"/>
        </w:rPr>
      </w:pPr>
      <w:r w:rsidRPr="00462337">
        <w:rPr>
          <w:rFonts w:eastAsia="Times New Roman" w:cstheme="minorHAnsi"/>
        </w:rPr>
        <w:t>Table 1</w:t>
      </w:r>
      <w:r w:rsidRPr="00722A9B">
        <w:rPr>
          <w:rFonts w:eastAsia="Times New Roman" w:cstheme="minorHAnsi"/>
        </w:rPr>
        <w:t xml:space="preserve">. </w:t>
      </w:r>
      <w:r w:rsidR="00722A9B" w:rsidRPr="00722A9B">
        <w:rPr>
          <w:rFonts w:eastAsia="Times New Roman"/>
        </w:rPr>
        <w:t xml:space="preserve"> </w:t>
      </w:r>
      <w:hyperlink w:anchor="_Table_1._Maximum" w:history="1">
        <w:r w:rsidR="00722A9B" w:rsidRPr="00722A9B">
          <w:rPr>
            <w:rStyle w:val="Hyperlink"/>
            <w:rFonts w:eastAsia="Times New Roman"/>
          </w:rPr>
          <w:t>Maximum amount of funds available for Round 1 and 2 by utility size, funding (</w:t>
        </w:r>
        <w:r w:rsidR="006816E6">
          <w:rPr>
            <w:rStyle w:val="Hyperlink"/>
            <w:rFonts w:eastAsia="Times New Roman"/>
          </w:rPr>
          <w:t>N</w:t>
        </w:r>
        <w:r w:rsidR="00722A9B" w:rsidRPr="00722A9B">
          <w:rPr>
            <w:rStyle w:val="Hyperlink"/>
            <w:rFonts w:eastAsia="Times New Roman"/>
          </w:rPr>
          <w:t xml:space="preserve">oncompetitive vs.    </w:t>
        </w:r>
        <w:r w:rsidR="006816E6">
          <w:rPr>
            <w:rStyle w:val="Hyperlink"/>
            <w:rFonts w:eastAsia="Times New Roman"/>
          </w:rPr>
          <w:t>C</w:t>
        </w:r>
        <w:r w:rsidR="00722A9B" w:rsidRPr="00722A9B">
          <w:rPr>
            <w:rStyle w:val="Hyperlink"/>
            <w:rFonts w:eastAsia="Times New Roman"/>
          </w:rPr>
          <w:t>ompetitive) and project type</w:t>
        </w:r>
      </w:hyperlink>
    </w:p>
    <w:p w14:paraId="00210FBD" w14:textId="1B4B3A1B" w:rsidR="00462337" w:rsidRPr="00462337" w:rsidRDefault="00462337" w:rsidP="0026729C">
      <w:pPr>
        <w:shd w:val="clear" w:color="auto" w:fill="FFFFFF"/>
        <w:spacing w:after="0"/>
        <w:rPr>
          <w:rFonts w:eastAsia="Times New Roman" w:cstheme="minorHAnsi"/>
        </w:rPr>
      </w:pPr>
      <w:r w:rsidRPr="00462337">
        <w:rPr>
          <w:rFonts w:eastAsia="Times New Roman" w:cstheme="minorHAnsi"/>
        </w:rPr>
        <w:t xml:space="preserve">Table 2. </w:t>
      </w:r>
      <w:bookmarkStart w:id="1" w:name="_Hlk130381570"/>
      <w:r w:rsidR="00722A9B">
        <w:rPr>
          <w:rFonts w:eastAsia="Times New Roman" w:cstheme="minorHAnsi"/>
        </w:rPr>
        <w:t xml:space="preserve"> </w:t>
      </w:r>
      <w:hyperlink w:anchor="_Table_2._Application" w:history="1">
        <w:r w:rsidR="00722A9B" w:rsidRPr="00722A9B">
          <w:rPr>
            <w:rStyle w:val="Hyperlink"/>
            <w:rFonts w:eastAsia="Times New Roman" w:cstheme="minorHAnsi"/>
          </w:rPr>
          <w:t>Application processes for Noncompetitive and Competitive Funding</w:t>
        </w:r>
      </w:hyperlink>
    </w:p>
    <w:bookmarkEnd w:id="1"/>
    <w:p w14:paraId="67C39AC8" w14:textId="024A55AD" w:rsidR="00852B25" w:rsidRDefault="00462337" w:rsidP="0026729C">
      <w:pPr>
        <w:shd w:val="clear" w:color="auto" w:fill="FFFFFF"/>
        <w:spacing w:after="0"/>
        <w:rPr>
          <w:rFonts w:eastAsia="Times New Roman" w:cstheme="minorHAnsi"/>
        </w:rPr>
      </w:pPr>
      <w:r w:rsidRPr="00462337">
        <w:rPr>
          <w:rFonts w:eastAsia="Times New Roman" w:cstheme="minorHAnsi"/>
        </w:rPr>
        <w:t xml:space="preserve">Table 3: </w:t>
      </w:r>
      <w:r w:rsidR="00722A9B">
        <w:rPr>
          <w:rFonts w:eastAsia="Times New Roman" w:cstheme="minorHAnsi"/>
        </w:rPr>
        <w:t xml:space="preserve"> </w:t>
      </w:r>
      <w:hyperlink w:anchor="_Table_3._Explanation" w:history="1">
        <w:r w:rsidR="00852B25" w:rsidRPr="00852B25">
          <w:rPr>
            <w:rStyle w:val="Hyperlink"/>
            <w:rFonts w:eastAsia="Times New Roman" w:cstheme="minorHAnsi"/>
          </w:rPr>
          <w:t xml:space="preserve">Explanation of Scoring Criteria for </w:t>
        </w:r>
        <w:r w:rsidR="00D567C4">
          <w:rPr>
            <w:rStyle w:val="Hyperlink"/>
            <w:rFonts w:eastAsia="Times New Roman" w:cstheme="minorHAnsi"/>
          </w:rPr>
          <w:t xml:space="preserve">Competitively Funded </w:t>
        </w:r>
        <w:r w:rsidR="00852B25" w:rsidRPr="00852B25">
          <w:rPr>
            <w:rStyle w:val="Hyperlink"/>
            <w:rFonts w:eastAsia="Times New Roman" w:cstheme="minorHAnsi"/>
          </w:rPr>
          <w:t>Project Applications</w:t>
        </w:r>
      </w:hyperlink>
    </w:p>
    <w:p w14:paraId="62393B66" w14:textId="6172CB52" w:rsidR="00462337" w:rsidRPr="00462337" w:rsidRDefault="00852B25" w:rsidP="0026729C">
      <w:pPr>
        <w:shd w:val="clear" w:color="auto" w:fill="FFFFFF"/>
        <w:spacing w:after="0"/>
        <w:rPr>
          <w:rFonts w:eastAsia="Times New Roman" w:cstheme="minorHAnsi"/>
        </w:rPr>
      </w:pPr>
      <w:r>
        <w:rPr>
          <w:rFonts w:eastAsia="Times New Roman" w:cstheme="minorHAnsi"/>
        </w:rPr>
        <w:t xml:space="preserve">Table 4: </w:t>
      </w:r>
      <w:r w:rsidR="00722A9B">
        <w:rPr>
          <w:rFonts w:eastAsia="Times New Roman" w:cstheme="minorHAnsi"/>
        </w:rPr>
        <w:t xml:space="preserve"> </w:t>
      </w:r>
      <w:hyperlink w:anchor="_Table_3:_IFA" w:history="1">
        <w:r w:rsidR="00462337" w:rsidRPr="00462337">
          <w:rPr>
            <w:rStyle w:val="Hyperlink"/>
            <w:rFonts w:eastAsia="Times New Roman" w:cstheme="minorHAnsi"/>
          </w:rPr>
          <w:t>IFA LS</w:t>
        </w:r>
        <w:r w:rsidR="00A13152">
          <w:rPr>
            <w:rStyle w:val="Hyperlink"/>
            <w:rFonts w:eastAsia="Times New Roman" w:cstheme="minorHAnsi"/>
          </w:rPr>
          <w:t>L Inventory</w:t>
        </w:r>
        <w:r w:rsidR="00462337" w:rsidRPr="00462337">
          <w:rPr>
            <w:rStyle w:val="Hyperlink"/>
            <w:rFonts w:eastAsia="Times New Roman" w:cstheme="minorHAnsi"/>
          </w:rPr>
          <w:t xml:space="preserve"> Funding Rounds and Deadlines</w:t>
        </w:r>
      </w:hyperlink>
    </w:p>
    <w:p w14:paraId="4ED7F97F" w14:textId="77777777" w:rsidR="00462337" w:rsidRDefault="00462337" w:rsidP="0026729C">
      <w:pPr>
        <w:spacing w:after="0"/>
      </w:pPr>
    </w:p>
    <w:p w14:paraId="5FA76D15" w14:textId="6E83BC34" w:rsidR="00462337" w:rsidRPr="00462337" w:rsidRDefault="00462337" w:rsidP="0026729C">
      <w:pPr>
        <w:spacing w:after="0"/>
      </w:pPr>
      <w:r w:rsidRPr="00462337">
        <w:t>FIGURES</w:t>
      </w:r>
    </w:p>
    <w:p w14:paraId="61C44518" w14:textId="24868AB2" w:rsidR="005B5B13" w:rsidRPr="00462337" w:rsidRDefault="00462337" w:rsidP="0026729C">
      <w:pPr>
        <w:spacing w:after="0"/>
      </w:pPr>
      <w:r w:rsidRPr="00462337">
        <w:t xml:space="preserve">Figure 1: </w:t>
      </w:r>
      <w:hyperlink w:anchor="_Figure_1:_IFA’s" w:history="1">
        <w:r w:rsidRPr="00462337">
          <w:rPr>
            <w:rStyle w:val="Hyperlink"/>
          </w:rPr>
          <w:t>IFA’s three funding paths for assistance with Lead Service Line Inventory work</w:t>
        </w:r>
      </w:hyperlink>
    </w:p>
    <w:p w14:paraId="33DC4937" w14:textId="427590A5" w:rsidR="00462337" w:rsidRPr="00462337" w:rsidRDefault="00462337" w:rsidP="0026729C">
      <w:pPr>
        <w:spacing w:after="0"/>
      </w:pPr>
      <w:r w:rsidRPr="00462337">
        <w:rPr>
          <w:rFonts w:eastAsia="Times New Roman" w:cstheme="minorHAnsi"/>
          <w:noProof/>
        </w:rPr>
        <w:t xml:space="preserve">Figure </w:t>
      </w:r>
      <w:r w:rsidRPr="00722A9B">
        <w:rPr>
          <w:rFonts w:eastAsia="Times New Roman" w:cstheme="minorHAnsi"/>
          <w:noProof/>
        </w:rPr>
        <w:t xml:space="preserve">2: </w:t>
      </w:r>
      <w:hyperlink w:anchor="_Figure_2:_Application" w:history="1">
        <w:r w:rsidR="00722A9B">
          <w:rPr>
            <w:rStyle w:val="Hyperlink"/>
            <w:rFonts w:eastAsia="Times New Roman" w:cstheme="minorHAnsi"/>
            <w:noProof/>
          </w:rPr>
          <w:t>Application process for All Project Types</w:t>
        </w:r>
      </w:hyperlink>
    </w:p>
    <w:p w14:paraId="52CE03E8" w14:textId="77777777" w:rsidR="00462337" w:rsidRDefault="00462337" w:rsidP="0026729C">
      <w:pPr>
        <w:spacing w:after="0"/>
      </w:pPr>
    </w:p>
    <w:p w14:paraId="71FB40AB" w14:textId="77777777" w:rsidR="00D33DE3" w:rsidRDefault="00D33DE3" w:rsidP="0026729C">
      <w:pPr>
        <w:spacing w:after="0"/>
        <w:rPr>
          <w:rStyle w:val="Hyperlink"/>
        </w:rPr>
      </w:pPr>
    </w:p>
    <w:p w14:paraId="68BDA84A" w14:textId="185E3A9C" w:rsidR="00F3028D" w:rsidRDefault="00F3028D" w:rsidP="0026729C">
      <w:pPr>
        <w:spacing w:after="0"/>
        <w:rPr>
          <w:rFonts w:eastAsia="Times New Roman" w:cstheme="minorHAnsi"/>
          <w:u w:val="single"/>
        </w:rPr>
      </w:pPr>
      <w:r>
        <w:rPr>
          <w:rFonts w:eastAsia="Times New Roman" w:cstheme="minorHAnsi"/>
          <w:u w:val="single"/>
        </w:rPr>
        <w:br w:type="page"/>
      </w:r>
    </w:p>
    <w:p w14:paraId="5D23B616" w14:textId="53BDDFFE" w:rsidR="00F818F5" w:rsidRPr="00F818F5" w:rsidRDefault="006C28C3" w:rsidP="00902825">
      <w:pPr>
        <w:pStyle w:val="Heading1"/>
        <w:rPr>
          <w:rFonts w:eastAsia="Times New Roman"/>
        </w:rPr>
      </w:pPr>
      <w:bookmarkStart w:id="2" w:name="_Overview_and_Goals"/>
      <w:bookmarkStart w:id="3" w:name="_Section_1:_Overview"/>
      <w:bookmarkEnd w:id="2"/>
      <w:bookmarkEnd w:id="3"/>
      <w:r>
        <w:rPr>
          <w:rFonts w:eastAsia="Times New Roman"/>
        </w:rPr>
        <w:lastRenderedPageBreak/>
        <w:t xml:space="preserve">Section 1: </w:t>
      </w:r>
      <w:r w:rsidR="00F818F5" w:rsidRPr="00F818F5">
        <w:rPr>
          <w:rFonts w:eastAsia="Times New Roman"/>
        </w:rPr>
        <w:t>Overview</w:t>
      </w:r>
      <w:r w:rsidR="00F3028D">
        <w:rPr>
          <w:rFonts w:eastAsia="Times New Roman"/>
        </w:rPr>
        <w:t xml:space="preserve"> and Goals</w:t>
      </w:r>
    </w:p>
    <w:p w14:paraId="160496AB" w14:textId="77777777" w:rsidR="005A4CDF" w:rsidRDefault="005A4CDF" w:rsidP="00F818F5">
      <w:pPr>
        <w:shd w:val="clear" w:color="auto" w:fill="FFFFFF"/>
        <w:spacing w:after="0" w:line="240" w:lineRule="auto"/>
        <w:rPr>
          <w:rFonts w:eastAsia="Times New Roman" w:cstheme="minorHAnsi"/>
        </w:rPr>
      </w:pPr>
    </w:p>
    <w:p w14:paraId="45FDCD90" w14:textId="466E3B63" w:rsidR="00F818F5" w:rsidRDefault="00F818F5" w:rsidP="00F424EF">
      <w:pPr>
        <w:shd w:val="clear" w:color="auto" w:fill="FFFFFF"/>
        <w:rPr>
          <w:rFonts w:eastAsia="Times New Roman" w:cstheme="minorHAnsi"/>
        </w:rPr>
      </w:pPr>
      <w:r w:rsidRPr="00254010">
        <w:rPr>
          <w:rFonts w:eastAsia="Times New Roman" w:cstheme="minorHAnsi"/>
        </w:rPr>
        <w:t xml:space="preserve">The Indiana Finance Authority (IFA) </w:t>
      </w:r>
      <w:r>
        <w:rPr>
          <w:rFonts w:eastAsia="Times New Roman" w:cstheme="minorHAnsi"/>
        </w:rPr>
        <w:t xml:space="preserve">is pleased to announce new funding opportunities available to water utilities seeking assistance </w:t>
      </w:r>
      <w:r w:rsidR="00692505">
        <w:rPr>
          <w:rFonts w:eastAsia="Times New Roman" w:cstheme="minorHAnsi"/>
        </w:rPr>
        <w:t>in</w:t>
      </w:r>
      <w:r>
        <w:rPr>
          <w:rFonts w:eastAsia="Times New Roman" w:cstheme="minorHAnsi"/>
        </w:rPr>
        <w:t xml:space="preserve"> complet</w:t>
      </w:r>
      <w:r w:rsidR="00692505">
        <w:rPr>
          <w:rFonts w:eastAsia="Times New Roman" w:cstheme="minorHAnsi"/>
        </w:rPr>
        <w:t>ing</w:t>
      </w:r>
      <w:r>
        <w:rPr>
          <w:rFonts w:eastAsia="Times New Roman" w:cstheme="minorHAnsi"/>
        </w:rPr>
        <w:t xml:space="preserve"> </w:t>
      </w:r>
      <w:r w:rsidR="00692505">
        <w:rPr>
          <w:rFonts w:eastAsia="Times New Roman" w:cstheme="minorHAnsi"/>
        </w:rPr>
        <w:t xml:space="preserve">a </w:t>
      </w:r>
      <w:r>
        <w:rPr>
          <w:rFonts w:eastAsia="Times New Roman" w:cstheme="minorHAnsi"/>
        </w:rPr>
        <w:t>Lead Service Line</w:t>
      </w:r>
      <w:r w:rsidR="00A13152">
        <w:rPr>
          <w:rFonts w:eastAsia="Times New Roman" w:cstheme="minorHAnsi"/>
        </w:rPr>
        <w:t xml:space="preserve"> (LSL)</w:t>
      </w:r>
      <w:r>
        <w:rPr>
          <w:rFonts w:eastAsia="Times New Roman" w:cstheme="minorHAnsi"/>
        </w:rPr>
        <w:t xml:space="preserve"> </w:t>
      </w:r>
      <w:r w:rsidRPr="001B662C">
        <w:rPr>
          <w:rFonts w:eastAsia="Times New Roman" w:cstheme="minorHAnsi"/>
          <w:b/>
          <w:bCs/>
          <w:i/>
          <w:iCs/>
        </w:rPr>
        <w:t>Inventor</w:t>
      </w:r>
      <w:r w:rsidR="00692505" w:rsidRPr="001B662C">
        <w:rPr>
          <w:rFonts w:eastAsia="Times New Roman" w:cstheme="minorHAnsi"/>
          <w:b/>
          <w:bCs/>
          <w:i/>
          <w:iCs/>
        </w:rPr>
        <w:t>y</w:t>
      </w:r>
      <w:r>
        <w:rPr>
          <w:rFonts w:eastAsia="Times New Roman" w:cstheme="minorHAnsi"/>
        </w:rPr>
        <w:t xml:space="preserve">. The IFA </w:t>
      </w:r>
      <w:r w:rsidRPr="00254010">
        <w:rPr>
          <w:rFonts w:eastAsia="Times New Roman" w:cstheme="minorHAnsi"/>
        </w:rPr>
        <w:t xml:space="preserve">recognizes that all Non-transient Non-Community Water Systems and all Community Water Systems </w:t>
      </w:r>
      <w:r>
        <w:rPr>
          <w:rFonts w:eastAsia="Times New Roman" w:cstheme="minorHAnsi"/>
        </w:rPr>
        <w:t>are</w:t>
      </w:r>
      <w:r w:rsidRPr="00254010">
        <w:rPr>
          <w:rFonts w:eastAsia="Times New Roman" w:cstheme="minorHAnsi"/>
        </w:rPr>
        <w:t xml:space="preserve"> required to submit a </w:t>
      </w:r>
      <w:r w:rsidR="00A13152">
        <w:rPr>
          <w:rFonts w:eastAsia="Times New Roman" w:cstheme="minorHAnsi"/>
        </w:rPr>
        <w:t xml:space="preserve">LSL inventory </w:t>
      </w:r>
      <w:r w:rsidRPr="00254010">
        <w:rPr>
          <w:rFonts w:eastAsia="Times New Roman" w:cstheme="minorHAnsi"/>
        </w:rPr>
        <w:t xml:space="preserve">prior to October 16, 2024, which is the Environmental Protection Agency’s compliance deadline for the </w:t>
      </w:r>
      <w:hyperlink r:id="rId9" w:history="1">
        <w:r w:rsidRPr="00EE5274">
          <w:rPr>
            <w:rStyle w:val="Hyperlink"/>
            <w:rFonts w:eastAsia="Times New Roman" w:cstheme="minorHAnsi"/>
            <w:color w:val="002060"/>
          </w:rPr>
          <w:t>Lead &amp; Copper Rule Revisions</w:t>
        </w:r>
      </w:hyperlink>
      <w:r w:rsidRPr="00254010">
        <w:rPr>
          <w:rFonts w:eastAsia="Times New Roman" w:cstheme="minorHAnsi"/>
        </w:rPr>
        <w:t xml:space="preserve">. The Indiana Department of Environmental Management </w:t>
      </w:r>
      <w:r>
        <w:rPr>
          <w:rFonts w:eastAsia="Times New Roman" w:cstheme="minorHAnsi"/>
        </w:rPr>
        <w:t>will collect LSL</w:t>
      </w:r>
      <w:r w:rsidR="008608B9">
        <w:rPr>
          <w:rFonts w:eastAsia="Times New Roman" w:cstheme="minorHAnsi"/>
        </w:rPr>
        <w:t xml:space="preserve"> </w:t>
      </w:r>
      <w:r>
        <w:rPr>
          <w:rFonts w:eastAsia="Times New Roman" w:cstheme="minorHAnsi"/>
        </w:rPr>
        <w:t>I</w:t>
      </w:r>
      <w:r w:rsidR="008608B9">
        <w:rPr>
          <w:rFonts w:eastAsia="Times New Roman" w:cstheme="minorHAnsi"/>
        </w:rPr>
        <w:t>nventory</w:t>
      </w:r>
      <w:r>
        <w:rPr>
          <w:rFonts w:eastAsia="Times New Roman" w:cstheme="minorHAnsi"/>
        </w:rPr>
        <w:t xml:space="preserve"> data using its </w:t>
      </w:r>
      <w:r w:rsidR="00A13152">
        <w:rPr>
          <w:rFonts w:eastAsia="Times New Roman" w:cstheme="minorHAnsi"/>
        </w:rPr>
        <w:t>LSL Inventory</w:t>
      </w:r>
      <w:r w:rsidRPr="00254010">
        <w:rPr>
          <w:rFonts w:eastAsia="Times New Roman" w:cstheme="minorHAnsi"/>
        </w:rPr>
        <w:t xml:space="preserve"> </w:t>
      </w:r>
      <w:r>
        <w:rPr>
          <w:rFonts w:eastAsia="Times New Roman" w:cstheme="minorHAnsi"/>
        </w:rPr>
        <w:t xml:space="preserve">reporting </w:t>
      </w:r>
      <w:r w:rsidRPr="00254010">
        <w:rPr>
          <w:rFonts w:eastAsia="Times New Roman" w:cstheme="minorHAnsi"/>
        </w:rPr>
        <w:t>template</w:t>
      </w:r>
      <w:r w:rsidR="00A4758C">
        <w:rPr>
          <w:rFonts w:eastAsia="Times New Roman" w:cstheme="minorHAnsi"/>
        </w:rPr>
        <w:t xml:space="preserve"> and online reporting portal</w:t>
      </w:r>
      <w:r w:rsidR="00DF5BB7">
        <w:rPr>
          <w:rFonts w:eastAsia="Times New Roman" w:cstheme="minorHAnsi"/>
        </w:rPr>
        <w:t>, “PWS Portal”</w:t>
      </w:r>
      <w:r>
        <w:rPr>
          <w:rFonts w:eastAsia="Times New Roman" w:cstheme="minorHAnsi"/>
        </w:rPr>
        <w:t xml:space="preserve">; </w:t>
      </w:r>
      <w:r w:rsidR="00EB00A6">
        <w:rPr>
          <w:rFonts w:eastAsia="Times New Roman" w:cstheme="minorHAnsi"/>
        </w:rPr>
        <w:t xml:space="preserve">this </w:t>
      </w:r>
      <w:r>
        <w:rPr>
          <w:rFonts w:eastAsia="Times New Roman" w:cstheme="minorHAnsi"/>
        </w:rPr>
        <w:t xml:space="preserve">template </w:t>
      </w:r>
      <w:r w:rsidRPr="00254010">
        <w:rPr>
          <w:rFonts w:eastAsia="Times New Roman" w:cstheme="minorHAnsi"/>
        </w:rPr>
        <w:t xml:space="preserve">and </w:t>
      </w:r>
      <w:r w:rsidR="00EB00A6">
        <w:rPr>
          <w:rFonts w:eastAsia="Times New Roman" w:cstheme="minorHAnsi"/>
        </w:rPr>
        <w:t xml:space="preserve">its </w:t>
      </w:r>
      <w:r w:rsidRPr="00254010">
        <w:rPr>
          <w:rFonts w:eastAsia="Times New Roman" w:cstheme="minorHAnsi"/>
        </w:rPr>
        <w:t xml:space="preserve">instructions can be found </w:t>
      </w:r>
      <w:hyperlink r:id="rId10" w:history="1">
        <w:r w:rsidRPr="00EE5274">
          <w:rPr>
            <w:rStyle w:val="Hyperlink"/>
            <w:rFonts w:eastAsia="Times New Roman" w:cstheme="minorHAnsi"/>
            <w:color w:val="002060"/>
          </w:rPr>
          <w:t>here</w:t>
        </w:r>
      </w:hyperlink>
      <w:r w:rsidRPr="00254010">
        <w:rPr>
          <w:rFonts w:eastAsia="Times New Roman" w:cstheme="minorHAnsi"/>
        </w:rPr>
        <w:t xml:space="preserve">. </w:t>
      </w:r>
      <w:r w:rsidRPr="000B1300">
        <w:rPr>
          <w:rFonts w:eastAsia="Times New Roman" w:cstheme="minorHAnsi"/>
        </w:rPr>
        <w:t xml:space="preserve">To assist </w:t>
      </w:r>
      <w:r>
        <w:rPr>
          <w:rFonts w:eastAsia="Times New Roman" w:cstheme="minorHAnsi"/>
        </w:rPr>
        <w:t xml:space="preserve">Indiana </w:t>
      </w:r>
      <w:r w:rsidRPr="000B1300">
        <w:rPr>
          <w:rFonts w:eastAsia="Times New Roman" w:cstheme="minorHAnsi"/>
        </w:rPr>
        <w:t xml:space="preserve">water systems </w:t>
      </w:r>
      <w:r>
        <w:rPr>
          <w:rFonts w:eastAsia="Times New Roman" w:cstheme="minorHAnsi"/>
        </w:rPr>
        <w:t>with Lead Service Line Inventory needs</w:t>
      </w:r>
      <w:r w:rsidRPr="000B1300">
        <w:rPr>
          <w:rFonts w:eastAsia="Times New Roman" w:cstheme="minorHAnsi"/>
        </w:rPr>
        <w:t>, the IFA will offer three different funding paths</w:t>
      </w:r>
      <w:r>
        <w:rPr>
          <w:rFonts w:eastAsia="Times New Roman" w:cstheme="minorHAnsi"/>
        </w:rPr>
        <w:t xml:space="preserve">: </w:t>
      </w:r>
    </w:p>
    <w:p w14:paraId="5ADDD0F5" w14:textId="663F59B4" w:rsidR="00F818F5" w:rsidRDefault="00F818F5" w:rsidP="00F424EF">
      <w:pPr>
        <w:pStyle w:val="ListParagraph"/>
        <w:numPr>
          <w:ilvl w:val="0"/>
          <w:numId w:val="18"/>
        </w:numPr>
        <w:shd w:val="clear" w:color="auto" w:fill="FFFFFF"/>
        <w:ind w:left="360"/>
        <w:rPr>
          <w:rFonts w:eastAsia="Times New Roman" w:cstheme="minorHAnsi"/>
        </w:rPr>
      </w:pPr>
      <w:r w:rsidRPr="00061179">
        <w:rPr>
          <w:rFonts w:eastAsia="Times New Roman" w:cstheme="minorHAnsi"/>
          <w:b/>
          <w:bCs/>
        </w:rPr>
        <w:t>All Non-transient Non-Community Water Systems (</w:t>
      </w:r>
      <w:hyperlink r:id="rId11" w:history="1">
        <w:r w:rsidRPr="00061179">
          <w:rPr>
            <w:rStyle w:val="Hyperlink"/>
            <w:rFonts w:eastAsia="Times New Roman" w:cstheme="minorHAnsi"/>
            <w:b/>
            <w:bCs/>
          </w:rPr>
          <w:t>NTNCWS</w:t>
        </w:r>
      </w:hyperlink>
      <w:r w:rsidRPr="00061179">
        <w:rPr>
          <w:rFonts w:eastAsia="Times New Roman" w:cstheme="minorHAnsi"/>
          <w:b/>
          <w:bCs/>
        </w:rPr>
        <w:t xml:space="preserve">) and Community Water Systems </w:t>
      </w:r>
      <w:r w:rsidR="00A4758C">
        <w:rPr>
          <w:rFonts w:eastAsia="Times New Roman" w:cstheme="minorHAnsi"/>
          <w:b/>
          <w:bCs/>
        </w:rPr>
        <w:t>(</w:t>
      </w:r>
      <w:hyperlink r:id="rId12" w:history="1">
        <w:r w:rsidRPr="00A4758C">
          <w:rPr>
            <w:rStyle w:val="Hyperlink"/>
            <w:rFonts w:eastAsia="Times New Roman" w:cstheme="minorHAnsi"/>
            <w:b/>
            <w:bCs/>
          </w:rPr>
          <w:t>CWS</w:t>
        </w:r>
      </w:hyperlink>
      <w:r w:rsidR="00A4758C">
        <w:rPr>
          <w:rFonts w:eastAsia="Times New Roman" w:cstheme="minorHAnsi"/>
          <w:b/>
          <w:bCs/>
        </w:rPr>
        <w:t>)</w:t>
      </w:r>
      <w:r w:rsidRPr="00061179">
        <w:rPr>
          <w:rFonts w:eastAsia="Times New Roman" w:cstheme="minorHAnsi"/>
          <w:b/>
          <w:bCs/>
        </w:rPr>
        <w:t xml:space="preserve"> with </w:t>
      </w:r>
      <w:r w:rsidRPr="00061179">
        <w:rPr>
          <w:rFonts w:eastAsia="Times New Roman" w:cstheme="minorHAnsi"/>
          <w:b/>
          <w:bCs/>
          <w:u w:val="single"/>
        </w:rPr>
        <w:t>less than 1,000 service connections</w:t>
      </w:r>
      <w:r w:rsidRPr="00D857C1">
        <w:rPr>
          <w:rFonts w:eastAsia="Times New Roman" w:cstheme="minorHAnsi"/>
        </w:rPr>
        <w:t xml:space="preserve"> will have access to a free </w:t>
      </w:r>
      <w:r w:rsidR="00A13152">
        <w:rPr>
          <w:rFonts w:eastAsia="Times New Roman" w:cstheme="minorHAnsi"/>
        </w:rPr>
        <w:t>LSL Inventory</w:t>
      </w:r>
      <w:r w:rsidRPr="00061179">
        <w:rPr>
          <w:rFonts w:eastAsia="Times New Roman" w:cstheme="minorHAnsi"/>
        </w:rPr>
        <w:t xml:space="preserve"> Technical Assistance Program </w:t>
      </w:r>
      <w:r w:rsidR="00692505">
        <w:rPr>
          <w:rFonts w:eastAsia="Times New Roman" w:cstheme="minorHAnsi"/>
        </w:rPr>
        <w:t>managed by</w:t>
      </w:r>
      <w:r w:rsidRPr="00061179">
        <w:rPr>
          <w:rFonts w:eastAsia="Times New Roman" w:cstheme="minorHAnsi"/>
        </w:rPr>
        <w:t xml:space="preserve"> the Alliance of Indiana Rural Water.  With </w:t>
      </w:r>
      <w:r w:rsidR="00692505">
        <w:rPr>
          <w:rFonts w:eastAsia="Times New Roman" w:cstheme="minorHAnsi"/>
        </w:rPr>
        <w:t xml:space="preserve">financial </w:t>
      </w:r>
      <w:r w:rsidRPr="00061179">
        <w:rPr>
          <w:rFonts w:eastAsia="Times New Roman" w:cstheme="minorHAnsi"/>
        </w:rPr>
        <w:t>suppo</w:t>
      </w:r>
      <w:r>
        <w:rPr>
          <w:rFonts w:eastAsia="Times New Roman" w:cstheme="minorHAnsi"/>
        </w:rPr>
        <w:t xml:space="preserve">rt from the IFA, the Alliance and its partners will offer free training and hands-on assistance completing inventories. More information about the program and how to </w:t>
      </w:r>
      <w:r w:rsidR="00692505">
        <w:rPr>
          <w:rFonts w:eastAsia="Times New Roman" w:cstheme="minorHAnsi"/>
        </w:rPr>
        <w:t>obtain assistance</w:t>
      </w:r>
      <w:r>
        <w:rPr>
          <w:rFonts w:eastAsia="Times New Roman" w:cstheme="minorHAnsi"/>
        </w:rPr>
        <w:t xml:space="preserve"> </w:t>
      </w:r>
      <w:r w:rsidR="0036303A">
        <w:rPr>
          <w:rFonts w:eastAsia="Times New Roman" w:cstheme="minorHAnsi"/>
        </w:rPr>
        <w:t>is</w:t>
      </w:r>
      <w:r>
        <w:rPr>
          <w:rFonts w:eastAsia="Times New Roman" w:cstheme="minorHAnsi"/>
        </w:rPr>
        <w:t xml:space="preserve"> featured on </w:t>
      </w:r>
      <w:hyperlink r:id="rId13" w:history="1">
        <w:r w:rsidRPr="00D857C1">
          <w:rPr>
            <w:rStyle w:val="Hyperlink"/>
            <w:rFonts w:eastAsia="Times New Roman" w:cstheme="minorHAnsi"/>
          </w:rPr>
          <w:t>Alliance’s website</w:t>
        </w:r>
      </w:hyperlink>
      <w:r>
        <w:rPr>
          <w:rFonts w:eastAsia="Times New Roman" w:cstheme="minorHAnsi"/>
        </w:rPr>
        <w:t xml:space="preserve">. See the </w:t>
      </w:r>
      <w:r w:rsidR="00882117">
        <w:rPr>
          <w:rFonts w:eastAsia="Times New Roman" w:cstheme="minorHAnsi"/>
        </w:rPr>
        <w:t>“Alliance”</w:t>
      </w:r>
      <w:r>
        <w:rPr>
          <w:rFonts w:eastAsia="Times New Roman" w:cstheme="minorHAnsi"/>
        </w:rPr>
        <w:t xml:space="preserve"> box in Figure 1. </w:t>
      </w:r>
    </w:p>
    <w:p w14:paraId="0AA63E38" w14:textId="77777777" w:rsidR="00F818F5" w:rsidRDefault="00F818F5" w:rsidP="00F424EF">
      <w:pPr>
        <w:pStyle w:val="ListParagraph"/>
        <w:shd w:val="clear" w:color="auto" w:fill="FFFFFF"/>
        <w:ind w:left="360"/>
        <w:rPr>
          <w:rFonts w:eastAsia="Times New Roman" w:cstheme="minorHAnsi"/>
        </w:rPr>
      </w:pPr>
    </w:p>
    <w:p w14:paraId="26AD9D72" w14:textId="1387F062" w:rsidR="00F818F5" w:rsidRPr="00D857C1" w:rsidRDefault="00F818F5" w:rsidP="00F424EF">
      <w:pPr>
        <w:pStyle w:val="ListParagraph"/>
        <w:numPr>
          <w:ilvl w:val="0"/>
          <w:numId w:val="18"/>
        </w:numPr>
        <w:shd w:val="clear" w:color="auto" w:fill="FFFFFF"/>
        <w:ind w:left="360"/>
        <w:rPr>
          <w:rFonts w:eastAsia="Times New Roman" w:cstheme="minorHAnsi"/>
        </w:rPr>
      </w:pPr>
      <w:r>
        <w:rPr>
          <w:rFonts w:eastAsia="Times New Roman" w:cstheme="minorHAnsi"/>
          <w:b/>
          <w:bCs/>
        </w:rPr>
        <w:t xml:space="preserve">All CWS </w:t>
      </w:r>
      <w:r w:rsidRPr="00D857C1">
        <w:rPr>
          <w:rFonts w:eastAsia="Times New Roman" w:cstheme="minorHAnsi"/>
        </w:rPr>
        <w:t>pursuing</w:t>
      </w:r>
      <w:r>
        <w:rPr>
          <w:rFonts w:eastAsia="Times New Roman" w:cstheme="minorHAnsi"/>
        </w:rPr>
        <w:t xml:space="preserve"> </w:t>
      </w:r>
      <w:r w:rsidR="00692505">
        <w:rPr>
          <w:rFonts w:eastAsia="Times New Roman" w:cstheme="minorHAnsi"/>
        </w:rPr>
        <w:t xml:space="preserve">financial </w:t>
      </w:r>
      <w:r>
        <w:rPr>
          <w:rFonts w:eastAsia="Times New Roman" w:cstheme="minorHAnsi"/>
        </w:rPr>
        <w:t xml:space="preserve">assistance from the </w:t>
      </w:r>
      <w:hyperlink r:id="rId14" w:history="1">
        <w:r w:rsidRPr="00AD4F55">
          <w:rPr>
            <w:rStyle w:val="Hyperlink"/>
            <w:rFonts w:eastAsia="Times New Roman" w:cstheme="minorHAnsi"/>
          </w:rPr>
          <w:t>Drinking Water State Revolving Fund Loan Program</w:t>
        </w:r>
      </w:hyperlink>
      <w:r>
        <w:rPr>
          <w:rFonts w:eastAsia="Times New Roman" w:cstheme="minorHAnsi"/>
        </w:rPr>
        <w:t xml:space="preserve"> </w:t>
      </w:r>
      <w:r w:rsidRPr="00D857C1">
        <w:rPr>
          <w:rFonts w:eastAsia="Times New Roman" w:cstheme="minorHAnsi"/>
        </w:rPr>
        <w:t xml:space="preserve">can </w:t>
      </w:r>
      <w:r w:rsidR="0036303A">
        <w:rPr>
          <w:rFonts w:eastAsia="Times New Roman" w:cstheme="minorHAnsi"/>
        </w:rPr>
        <w:t>include</w:t>
      </w:r>
      <w:r w:rsidRPr="00D857C1">
        <w:rPr>
          <w:rFonts w:eastAsia="Times New Roman" w:cstheme="minorHAnsi"/>
        </w:rPr>
        <w:t xml:space="preserve"> </w:t>
      </w:r>
      <w:r w:rsidR="00692505">
        <w:rPr>
          <w:rFonts w:eastAsia="Times New Roman" w:cstheme="minorHAnsi"/>
        </w:rPr>
        <w:t xml:space="preserve">the cost of </w:t>
      </w:r>
      <w:r w:rsidR="00A13152">
        <w:rPr>
          <w:rFonts w:eastAsia="Times New Roman" w:cstheme="minorHAnsi"/>
        </w:rPr>
        <w:t>LSL Inventory</w:t>
      </w:r>
      <w:r>
        <w:rPr>
          <w:rFonts w:eastAsia="Times New Roman" w:cstheme="minorHAnsi"/>
        </w:rPr>
        <w:t xml:space="preserve"> work </w:t>
      </w:r>
      <w:r w:rsidRPr="00D857C1">
        <w:rPr>
          <w:rFonts w:eastAsia="Times New Roman" w:cstheme="minorHAnsi"/>
        </w:rPr>
        <w:t xml:space="preserve">to their </w:t>
      </w:r>
      <w:r w:rsidRPr="008E77E9">
        <w:rPr>
          <w:rFonts w:eastAsia="Times New Roman" w:cstheme="minorHAnsi"/>
        </w:rPr>
        <w:t xml:space="preserve">applications. See the </w:t>
      </w:r>
      <w:r w:rsidR="00882117">
        <w:rPr>
          <w:rFonts w:eastAsia="Times New Roman" w:cstheme="minorHAnsi"/>
        </w:rPr>
        <w:t>“SRF” box</w:t>
      </w:r>
      <w:r w:rsidRPr="008E77E9">
        <w:rPr>
          <w:rFonts w:eastAsia="Times New Roman" w:cstheme="minorHAnsi"/>
        </w:rPr>
        <w:t xml:space="preserve"> in Figure 1.</w:t>
      </w:r>
    </w:p>
    <w:p w14:paraId="6D7DF39B" w14:textId="77777777" w:rsidR="00F818F5" w:rsidRPr="00AF7B16" w:rsidRDefault="00F818F5" w:rsidP="00F424EF">
      <w:pPr>
        <w:pStyle w:val="ListParagraph"/>
        <w:shd w:val="clear" w:color="auto" w:fill="FFFFFF"/>
        <w:ind w:left="360"/>
        <w:rPr>
          <w:rFonts w:eastAsia="Times New Roman" w:cstheme="minorHAnsi"/>
        </w:rPr>
      </w:pPr>
    </w:p>
    <w:p w14:paraId="13F76F4E" w14:textId="44FE4F34" w:rsidR="00F818F5" w:rsidRDefault="0036303A" w:rsidP="00F424EF">
      <w:pPr>
        <w:pStyle w:val="ListParagraph"/>
        <w:numPr>
          <w:ilvl w:val="0"/>
          <w:numId w:val="18"/>
        </w:numPr>
        <w:shd w:val="clear" w:color="auto" w:fill="FFFFFF"/>
        <w:ind w:left="360"/>
        <w:rPr>
          <w:rFonts w:eastAsia="Times New Roman" w:cstheme="minorHAnsi"/>
        </w:rPr>
      </w:pPr>
      <w:r w:rsidRPr="0036303A">
        <w:rPr>
          <w:rFonts w:eastAsia="Times New Roman" w:cstheme="minorHAnsi"/>
          <w:b/>
          <w:bCs/>
          <w:highlight w:val="yellow"/>
        </w:rPr>
        <w:t>As of January 2024,</w:t>
      </w:r>
      <w:r>
        <w:rPr>
          <w:rFonts w:eastAsia="Times New Roman" w:cstheme="minorHAnsi"/>
          <w:b/>
          <w:bCs/>
        </w:rPr>
        <w:t xml:space="preserve"> </w:t>
      </w:r>
      <w:r w:rsidR="00F818F5">
        <w:rPr>
          <w:rFonts w:eastAsia="Times New Roman" w:cstheme="minorHAnsi"/>
          <w:b/>
          <w:bCs/>
        </w:rPr>
        <w:t xml:space="preserve">CWS with </w:t>
      </w:r>
      <w:r w:rsidR="00F818F5">
        <w:rPr>
          <w:rFonts w:eastAsia="Times New Roman" w:cstheme="minorHAnsi"/>
          <w:b/>
          <w:bCs/>
          <w:u w:val="single"/>
        </w:rPr>
        <w:t>greater than</w:t>
      </w:r>
      <w:r w:rsidR="00F818F5" w:rsidRPr="00D857C1">
        <w:rPr>
          <w:rFonts w:eastAsia="Times New Roman" w:cstheme="minorHAnsi"/>
          <w:b/>
          <w:bCs/>
          <w:u w:val="single"/>
        </w:rPr>
        <w:t xml:space="preserve"> </w:t>
      </w:r>
      <w:r w:rsidR="005F140B" w:rsidRPr="005F140B">
        <w:rPr>
          <w:rFonts w:eastAsia="Times New Roman" w:cstheme="minorHAnsi"/>
          <w:b/>
          <w:bCs/>
          <w:highlight w:val="yellow"/>
          <w:u w:val="single"/>
        </w:rPr>
        <w:t>7</w:t>
      </w:r>
      <w:r w:rsidR="00F818F5" w:rsidRPr="005F140B">
        <w:rPr>
          <w:rFonts w:eastAsia="Times New Roman" w:cstheme="minorHAnsi"/>
          <w:b/>
          <w:bCs/>
          <w:highlight w:val="yellow"/>
          <w:u w:val="single"/>
        </w:rPr>
        <w:t>00</w:t>
      </w:r>
      <w:r w:rsidR="00F818F5" w:rsidRPr="00D857C1">
        <w:rPr>
          <w:rFonts w:eastAsia="Times New Roman" w:cstheme="minorHAnsi"/>
          <w:b/>
          <w:bCs/>
          <w:u w:val="single"/>
        </w:rPr>
        <w:t xml:space="preserve"> service connections</w:t>
      </w:r>
      <w:r w:rsidR="00F818F5">
        <w:rPr>
          <w:rFonts w:eastAsia="Times New Roman" w:cstheme="minorHAnsi"/>
          <w:b/>
          <w:bCs/>
        </w:rPr>
        <w:t xml:space="preserve"> </w:t>
      </w:r>
      <w:r w:rsidR="00F818F5">
        <w:rPr>
          <w:rFonts w:eastAsia="Times New Roman" w:cstheme="minorHAnsi"/>
        </w:rPr>
        <w:t xml:space="preserve">are eligible for IFA’s </w:t>
      </w:r>
      <w:r w:rsidR="00A13152">
        <w:rPr>
          <w:rFonts w:eastAsia="Times New Roman" w:cstheme="minorHAnsi"/>
        </w:rPr>
        <w:t>LSL Inventory</w:t>
      </w:r>
      <w:r w:rsidR="00F818F5">
        <w:rPr>
          <w:rFonts w:eastAsia="Times New Roman" w:cstheme="minorHAnsi"/>
        </w:rPr>
        <w:t xml:space="preserve"> Funding Program, which is the focus of this </w:t>
      </w:r>
      <w:r w:rsidR="0023107E">
        <w:rPr>
          <w:rFonts w:eastAsia="Times New Roman" w:cstheme="minorHAnsi"/>
        </w:rPr>
        <w:t>guidance</w:t>
      </w:r>
      <w:r w:rsidR="00F818F5">
        <w:rPr>
          <w:rFonts w:eastAsia="Times New Roman" w:cstheme="minorHAnsi"/>
        </w:rPr>
        <w:t>. See the</w:t>
      </w:r>
      <w:r w:rsidR="00882117">
        <w:rPr>
          <w:rFonts w:eastAsia="Times New Roman" w:cstheme="minorHAnsi"/>
        </w:rPr>
        <w:t xml:space="preserve"> “IFA”</w:t>
      </w:r>
      <w:r w:rsidR="00F818F5">
        <w:rPr>
          <w:rFonts w:eastAsia="Times New Roman" w:cstheme="minorHAnsi"/>
        </w:rPr>
        <w:t xml:space="preserve"> box in Figure 1.</w:t>
      </w:r>
    </w:p>
    <w:p w14:paraId="04EF988B" w14:textId="77777777" w:rsidR="0036303A" w:rsidRPr="0036303A" w:rsidRDefault="0036303A" w:rsidP="0036303A">
      <w:pPr>
        <w:pStyle w:val="ListParagraph"/>
        <w:rPr>
          <w:rFonts w:eastAsia="Times New Roman" w:cstheme="minorHAnsi"/>
        </w:rPr>
      </w:pPr>
    </w:p>
    <w:p w14:paraId="5EEB5382" w14:textId="77777777" w:rsidR="0036303A" w:rsidRDefault="0036303A" w:rsidP="0036303A">
      <w:pPr>
        <w:pStyle w:val="ListParagraph"/>
        <w:shd w:val="clear" w:color="auto" w:fill="FFFFFF"/>
        <w:ind w:left="360"/>
        <w:rPr>
          <w:rFonts w:eastAsia="Times New Roman" w:cstheme="minorHAnsi"/>
        </w:rPr>
      </w:pPr>
    </w:p>
    <w:p w14:paraId="1675CFB1" w14:textId="77777777" w:rsidR="00F818F5" w:rsidRPr="008E77E9" w:rsidRDefault="00F818F5" w:rsidP="00F424EF">
      <w:pPr>
        <w:pStyle w:val="ListParagraph"/>
        <w:rPr>
          <w:rFonts w:eastAsia="Times New Roman" w:cstheme="minorHAnsi"/>
        </w:rPr>
      </w:pPr>
    </w:p>
    <w:p w14:paraId="40AD704C" w14:textId="1FE80841" w:rsidR="00F818F5" w:rsidRDefault="00246D2B" w:rsidP="00F424EF">
      <w:pPr>
        <w:shd w:val="clear" w:color="auto" w:fill="FFFFFF"/>
        <w:jc w:val="center"/>
        <w:rPr>
          <w:rFonts w:eastAsia="Times New Roman" w:cstheme="minorHAnsi"/>
        </w:rPr>
      </w:pPr>
      <w:r>
        <w:rPr>
          <w:rFonts w:eastAsia="Times New Roman" w:cstheme="minorHAnsi"/>
          <w:noProof/>
        </w:rPr>
        <w:drawing>
          <wp:inline distT="0" distB="0" distL="0" distR="0" wp14:anchorId="23916A8D" wp14:editId="2AD0EB3D">
            <wp:extent cx="5195536" cy="2045227"/>
            <wp:effectExtent l="19050" t="19050" r="24765" b="12700"/>
            <wp:docPr id="666378693"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378693" name="Picture 1" descr="Diagram&#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5207481" cy="2049929"/>
                    </a:xfrm>
                    <a:prstGeom prst="rect">
                      <a:avLst/>
                    </a:prstGeom>
                    <a:ln>
                      <a:solidFill>
                        <a:schemeClr val="accent1"/>
                      </a:solidFill>
                    </a:ln>
                  </pic:spPr>
                </pic:pic>
              </a:graphicData>
            </a:graphic>
          </wp:inline>
        </w:drawing>
      </w:r>
    </w:p>
    <w:p w14:paraId="71B450FA" w14:textId="29800375" w:rsidR="00F818F5" w:rsidRPr="007022C4" w:rsidRDefault="00F818F5" w:rsidP="0036303A">
      <w:pPr>
        <w:pStyle w:val="Heading3"/>
        <w:spacing w:before="0" w:after="160"/>
        <w:ind w:left="900" w:right="900"/>
        <w:rPr>
          <w:rFonts w:eastAsia="Times New Roman"/>
          <w:b/>
          <w:bCs/>
          <w:noProof/>
          <w:sz w:val="22"/>
          <w:szCs w:val="22"/>
        </w:rPr>
      </w:pPr>
      <w:bookmarkStart w:id="4" w:name="_Figure_1:_IFA’s"/>
      <w:bookmarkStart w:id="5" w:name="_Hlk128663861"/>
      <w:bookmarkEnd w:id="4"/>
      <w:r w:rsidRPr="007022C4">
        <w:rPr>
          <w:rFonts w:eastAsia="Times New Roman"/>
          <w:b/>
          <w:bCs/>
          <w:noProof/>
          <w:sz w:val="22"/>
          <w:szCs w:val="22"/>
        </w:rPr>
        <w:t xml:space="preserve">Figure 1: </w:t>
      </w:r>
      <w:r w:rsidRPr="007022C4">
        <w:rPr>
          <w:rFonts w:eastAsia="Times New Roman"/>
          <w:noProof/>
          <w:sz w:val="22"/>
          <w:szCs w:val="22"/>
        </w:rPr>
        <w:t>IFA’s three funding paths for assistance with Lead Service Line Inventory work. Arrows indicate that utilities can apply to mul</w:t>
      </w:r>
      <w:r w:rsidR="00D829A2" w:rsidRPr="007022C4">
        <w:rPr>
          <w:rFonts w:eastAsia="Times New Roman"/>
          <w:noProof/>
          <w:sz w:val="22"/>
          <w:szCs w:val="22"/>
        </w:rPr>
        <w:t>t</w:t>
      </w:r>
      <w:r w:rsidRPr="007022C4">
        <w:rPr>
          <w:rFonts w:eastAsia="Times New Roman"/>
          <w:noProof/>
          <w:sz w:val="22"/>
          <w:szCs w:val="22"/>
        </w:rPr>
        <w:t>iple programs at the same time.</w:t>
      </w:r>
    </w:p>
    <w:bookmarkEnd w:id="5"/>
    <w:p w14:paraId="6E033AC8" w14:textId="2BEC4998" w:rsidR="00F818F5" w:rsidRDefault="00F818F5" w:rsidP="00F424EF"/>
    <w:p w14:paraId="66943D52" w14:textId="77777777" w:rsidR="00F17F8E" w:rsidRDefault="00F17F8E">
      <w:pPr>
        <w:rPr>
          <w:rFonts w:eastAsia="Times New Roman" w:cstheme="minorHAnsi"/>
        </w:rPr>
      </w:pPr>
      <w:r>
        <w:rPr>
          <w:rFonts w:eastAsia="Times New Roman" w:cstheme="minorHAnsi"/>
        </w:rPr>
        <w:br w:type="page"/>
      </w:r>
    </w:p>
    <w:p w14:paraId="693DFA74" w14:textId="423AD899" w:rsidR="00CA0276" w:rsidRDefault="00F3028D" w:rsidP="00F424EF">
      <w:pPr>
        <w:shd w:val="clear" w:color="auto" w:fill="FFFFFF"/>
        <w:rPr>
          <w:rFonts w:eastAsia="Times New Roman" w:cstheme="minorHAnsi"/>
        </w:rPr>
      </w:pPr>
      <w:r w:rsidRPr="00254010">
        <w:rPr>
          <w:rFonts w:eastAsia="Times New Roman" w:cstheme="minorHAnsi"/>
        </w:rPr>
        <w:lastRenderedPageBreak/>
        <w:t>The goals of this program are:</w:t>
      </w:r>
    </w:p>
    <w:p w14:paraId="60D106CE" w14:textId="03C65740" w:rsidR="00CA0276" w:rsidRDefault="00F3028D" w:rsidP="00F424EF">
      <w:pPr>
        <w:pStyle w:val="ListParagraph"/>
        <w:numPr>
          <w:ilvl w:val="0"/>
          <w:numId w:val="22"/>
        </w:numPr>
        <w:shd w:val="clear" w:color="auto" w:fill="FFFFFF"/>
        <w:ind w:left="720"/>
        <w:rPr>
          <w:rFonts w:eastAsia="Times New Roman" w:cstheme="minorHAnsi"/>
        </w:rPr>
      </w:pPr>
      <w:r w:rsidRPr="00CA0276">
        <w:rPr>
          <w:rFonts w:eastAsia="Times New Roman" w:cstheme="minorHAnsi"/>
        </w:rPr>
        <w:t xml:space="preserve">To help water systems complete and submit </w:t>
      </w:r>
      <w:r w:rsidR="00692505">
        <w:rPr>
          <w:rFonts w:eastAsia="Times New Roman" w:cstheme="minorHAnsi"/>
        </w:rPr>
        <w:t>EPA-</w:t>
      </w:r>
      <w:r w:rsidRPr="00CA0276">
        <w:rPr>
          <w:rFonts w:eastAsia="Times New Roman" w:cstheme="minorHAnsi"/>
        </w:rPr>
        <w:t>mandat</w:t>
      </w:r>
      <w:r w:rsidR="00692505">
        <w:rPr>
          <w:rFonts w:eastAsia="Times New Roman" w:cstheme="minorHAnsi"/>
        </w:rPr>
        <w:t>ed</w:t>
      </w:r>
      <w:r w:rsidRPr="00CA0276">
        <w:rPr>
          <w:rFonts w:eastAsia="Times New Roman" w:cstheme="minorHAnsi"/>
        </w:rPr>
        <w:t xml:space="preserve"> </w:t>
      </w:r>
      <w:r w:rsidR="00A13152">
        <w:rPr>
          <w:rFonts w:eastAsia="Times New Roman" w:cstheme="minorHAnsi"/>
        </w:rPr>
        <w:t>LSL Inventor</w:t>
      </w:r>
      <w:r w:rsidR="0036303A">
        <w:rPr>
          <w:rFonts w:eastAsia="Times New Roman" w:cstheme="minorHAnsi"/>
        </w:rPr>
        <w:t>ies</w:t>
      </w:r>
      <w:r w:rsidRPr="00CA0276">
        <w:rPr>
          <w:rFonts w:eastAsia="Times New Roman" w:cstheme="minorHAnsi"/>
        </w:rPr>
        <w:t xml:space="preserve"> to the Indiana Department of Environmental Management (IDEM) by the </w:t>
      </w:r>
      <w:hyperlink r:id="rId16" w:history="1">
        <w:r w:rsidRPr="00CA0276">
          <w:rPr>
            <w:rStyle w:val="Hyperlink"/>
            <w:rFonts w:eastAsia="Times New Roman" w:cstheme="minorHAnsi"/>
            <w:color w:val="auto"/>
          </w:rPr>
          <w:t>Lead and Copper Rule Revisions</w:t>
        </w:r>
      </w:hyperlink>
      <w:r w:rsidRPr="00CA0276">
        <w:rPr>
          <w:rFonts w:eastAsia="Times New Roman" w:cstheme="minorHAnsi"/>
        </w:rPr>
        <w:t xml:space="preserve"> (LCRR) compliance date of 10/16/</w:t>
      </w:r>
      <w:r w:rsidR="00692505">
        <w:rPr>
          <w:rFonts w:eastAsia="Times New Roman" w:cstheme="minorHAnsi"/>
        </w:rPr>
        <w:t>20</w:t>
      </w:r>
      <w:r w:rsidRPr="00CA0276">
        <w:rPr>
          <w:rFonts w:eastAsia="Times New Roman" w:cstheme="minorHAnsi"/>
        </w:rPr>
        <w:t>24</w:t>
      </w:r>
      <w:r w:rsidR="00CA0276">
        <w:rPr>
          <w:rFonts w:eastAsia="Times New Roman" w:cstheme="minorHAnsi"/>
        </w:rPr>
        <w:t xml:space="preserve">. </w:t>
      </w:r>
    </w:p>
    <w:p w14:paraId="527764EE" w14:textId="77777777" w:rsidR="00CA331D" w:rsidRPr="00CA0276" w:rsidRDefault="00CA331D" w:rsidP="00F424EF">
      <w:pPr>
        <w:pStyle w:val="ListParagraph"/>
        <w:shd w:val="clear" w:color="auto" w:fill="FFFFFF"/>
        <w:rPr>
          <w:rFonts w:eastAsia="Times New Roman" w:cstheme="minorHAnsi"/>
        </w:rPr>
      </w:pPr>
    </w:p>
    <w:p w14:paraId="3683DBFA" w14:textId="32285277" w:rsidR="00F3028D" w:rsidRDefault="00CA0276" w:rsidP="00F424EF">
      <w:pPr>
        <w:pStyle w:val="ListParagraph"/>
        <w:numPr>
          <w:ilvl w:val="0"/>
          <w:numId w:val="22"/>
        </w:numPr>
        <w:shd w:val="clear" w:color="auto" w:fill="FFFFFF"/>
        <w:ind w:left="720"/>
        <w:rPr>
          <w:rFonts w:eastAsia="Times New Roman" w:cstheme="minorHAnsi"/>
        </w:rPr>
      </w:pPr>
      <w:r w:rsidRPr="00CA0276">
        <w:rPr>
          <w:rFonts w:eastAsia="Times New Roman" w:cstheme="minorHAnsi"/>
        </w:rPr>
        <w:t>T</w:t>
      </w:r>
      <w:r w:rsidR="00F3028D" w:rsidRPr="00CA0276">
        <w:rPr>
          <w:rFonts w:eastAsia="Times New Roman" w:cstheme="minorHAnsi"/>
        </w:rPr>
        <w:t>o provide the state with an accurate estimate of lead service lines so the IFA can eff</w:t>
      </w:r>
      <w:r w:rsidR="0036303A">
        <w:rPr>
          <w:rFonts w:eastAsia="Times New Roman" w:cstheme="minorHAnsi"/>
        </w:rPr>
        <w:t>ectively</w:t>
      </w:r>
      <w:r w:rsidR="00F3028D" w:rsidRPr="00CA0276">
        <w:rPr>
          <w:rFonts w:eastAsia="Times New Roman" w:cstheme="minorHAnsi"/>
        </w:rPr>
        <w:t xml:space="preserve"> offer funding to communities replacing lead lines in the coming years.</w:t>
      </w:r>
      <w:r w:rsidR="004305A5" w:rsidRPr="00CA0276">
        <w:rPr>
          <w:rFonts w:eastAsia="Times New Roman" w:cstheme="minorHAnsi"/>
        </w:rPr>
        <w:t xml:space="preserve"> </w:t>
      </w:r>
      <w:bookmarkStart w:id="6" w:name="_Eligible_Project_Activities"/>
      <w:bookmarkEnd w:id="6"/>
    </w:p>
    <w:p w14:paraId="20DB31AA" w14:textId="2EF82EA6" w:rsidR="001B662C" w:rsidRPr="001B662C" w:rsidRDefault="001B662C" w:rsidP="00F424EF">
      <w:pPr>
        <w:shd w:val="clear" w:color="auto" w:fill="FFFFFF"/>
        <w:rPr>
          <w:rFonts w:eastAsia="Times New Roman" w:cstheme="minorHAnsi"/>
        </w:rPr>
      </w:pPr>
      <w:r w:rsidRPr="00071E42">
        <w:rPr>
          <w:rFonts w:eastAsia="Times New Roman" w:cstheme="minorHAnsi"/>
        </w:rPr>
        <w:t xml:space="preserve">Funding assistance for Lead Service Line </w:t>
      </w:r>
      <w:r w:rsidRPr="00071E42">
        <w:rPr>
          <w:rFonts w:eastAsia="Times New Roman" w:cstheme="minorHAnsi"/>
          <w:b/>
          <w:bCs/>
          <w:i/>
          <w:iCs/>
        </w:rPr>
        <w:t>Replacement</w:t>
      </w:r>
      <w:r w:rsidRPr="00071E42">
        <w:rPr>
          <w:rFonts w:eastAsia="Times New Roman" w:cstheme="minorHAnsi"/>
        </w:rPr>
        <w:t xml:space="preserve"> needs </w:t>
      </w:r>
      <w:r w:rsidR="0036303A">
        <w:rPr>
          <w:rFonts w:eastAsia="Times New Roman" w:cstheme="minorHAnsi"/>
        </w:rPr>
        <w:t>is</w:t>
      </w:r>
      <w:r w:rsidRPr="00071E42">
        <w:rPr>
          <w:rFonts w:eastAsia="Times New Roman" w:cstheme="minorHAnsi"/>
        </w:rPr>
        <w:t xml:space="preserve"> available through the </w:t>
      </w:r>
      <w:hyperlink r:id="rId17" w:history="1">
        <w:r w:rsidRPr="00071E42">
          <w:rPr>
            <w:rStyle w:val="Hyperlink"/>
            <w:rFonts w:eastAsia="Times New Roman" w:cstheme="minorHAnsi"/>
          </w:rPr>
          <w:t>Drinking Water State Revolving Fund Loan Program</w:t>
        </w:r>
      </w:hyperlink>
      <w:r w:rsidRPr="00071E42">
        <w:rPr>
          <w:rFonts w:eastAsia="Times New Roman" w:cstheme="minorHAnsi"/>
        </w:rPr>
        <w:t>.  These requests follow the standard Drinking Water State Revolving Fund Loan Program’s application process.</w:t>
      </w:r>
      <w:r>
        <w:rPr>
          <w:rFonts w:eastAsia="Times New Roman" w:cstheme="minorHAnsi"/>
        </w:rPr>
        <w:t xml:space="preserve">   </w:t>
      </w:r>
    </w:p>
    <w:p w14:paraId="02285C40" w14:textId="5BEE3748" w:rsidR="00CA331D" w:rsidRDefault="00CA331D">
      <w:r>
        <w:br w:type="page"/>
      </w:r>
    </w:p>
    <w:p w14:paraId="7E891350" w14:textId="59605162" w:rsidR="00F3028D" w:rsidRPr="005A4CDF" w:rsidRDefault="006C28C3" w:rsidP="00902825">
      <w:pPr>
        <w:pStyle w:val="Heading1"/>
      </w:pPr>
      <w:bookmarkStart w:id="7" w:name="_Section_2:_Eligible"/>
      <w:bookmarkEnd w:id="7"/>
      <w:r w:rsidRPr="005A4CDF">
        <w:lastRenderedPageBreak/>
        <w:t xml:space="preserve">Section 2: </w:t>
      </w:r>
      <w:r w:rsidR="004305A5" w:rsidRPr="005A4CDF">
        <w:t>Eligible Project Activities</w:t>
      </w:r>
    </w:p>
    <w:p w14:paraId="45D4DA38" w14:textId="3E992CC5" w:rsidR="00CA0276" w:rsidRDefault="00CA0276" w:rsidP="00F17F8E">
      <w:pPr>
        <w:spacing w:after="0"/>
        <w:rPr>
          <w:rFonts w:eastAsia="Times New Roman" w:cstheme="minorHAnsi"/>
          <w:b/>
          <w:bCs/>
        </w:rPr>
      </w:pPr>
    </w:p>
    <w:p w14:paraId="15574AD9" w14:textId="1A48E773" w:rsidR="005F35FF" w:rsidRPr="005F35FF" w:rsidRDefault="005F35FF" w:rsidP="00F17F8E">
      <w:pPr>
        <w:rPr>
          <w:rFonts w:eastAsia="Times New Roman" w:cstheme="minorHAnsi"/>
        </w:rPr>
      </w:pPr>
      <w:r w:rsidRPr="005F35FF">
        <w:rPr>
          <w:rFonts w:eastAsia="Times New Roman" w:cstheme="minorHAnsi"/>
        </w:rPr>
        <w:t xml:space="preserve">The </w:t>
      </w:r>
      <w:r w:rsidR="00A13152">
        <w:rPr>
          <w:rFonts w:eastAsia="Times New Roman" w:cstheme="minorHAnsi"/>
        </w:rPr>
        <w:t>LSL Inventory</w:t>
      </w:r>
      <w:r>
        <w:rPr>
          <w:rFonts w:eastAsia="Times New Roman" w:cstheme="minorHAnsi"/>
        </w:rPr>
        <w:t xml:space="preserve"> program will fund projects according to their type, which is described in the following categories. </w:t>
      </w:r>
      <w:r w:rsidRPr="009D32FB">
        <w:rPr>
          <w:rFonts w:eastAsia="Times New Roman" w:cstheme="minorHAnsi"/>
        </w:rPr>
        <w:t xml:space="preserve">For project ideas and approaches, please visit the Lead Service Line Replacement Collaborative’s </w:t>
      </w:r>
      <w:hyperlink r:id="rId18" w:history="1">
        <w:r w:rsidRPr="009D32FB">
          <w:rPr>
            <w:rStyle w:val="Hyperlink"/>
            <w:rFonts w:eastAsia="Times New Roman" w:cstheme="minorHAnsi"/>
            <w:color w:val="auto"/>
          </w:rPr>
          <w:t>website</w:t>
        </w:r>
      </w:hyperlink>
      <w:r>
        <w:rPr>
          <w:rStyle w:val="Hyperlink"/>
          <w:rFonts w:eastAsia="Times New Roman" w:cstheme="minorHAnsi"/>
          <w:color w:val="auto"/>
        </w:rPr>
        <w:t>.</w:t>
      </w:r>
    </w:p>
    <w:p w14:paraId="2EDBDAEF" w14:textId="38074E60" w:rsidR="007B65C5" w:rsidRPr="009D32FB" w:rsidRDefault="004305A5" w:rsidP="00F424EF">
      <w:pPr>
        <w:rPr>
          <w:rFonts w:eastAsia="Times New Roman" w:cstheme="minorHAnsi"/>
          <w:b/>
          <w:bCs/>
          <w:u w:val="single"/>
        </w:rPr>
      </w:pPr>
      <w:r w:rsidRPr="00254010">
        <w:rPr>
          <w:rFonts w:eastAsia="Times New Roman" w:cstheme="minorHAnsi"/>
          <w:b/>
          <w:bCs/>
        </w:rPr>
        <w:t>Project Type I. Utility Records Review &amp; Analysis</w:t>
      </w:r>
      <w:r w:rsidRPr="00254010">
        <w:rPr>
          <w:rFonts w:eastAsia="Times New Roman" w:cstheme="minorHAnsi"/>
        </w:rPr>
        <w:br/>
      </w:r>
      <w:r w:rsidR="0036303A">
        <w:rPr>
          <w:rFonts w:eastAsia="Times New Roman" w:cstheme="minorHAnsi"/>
        </w:rPr>
        <w:t>Type I projects include t</w:t>
      </w:r>
      <w:r w:rsidRPr="00254010">
        <w:rPr>
          <w:rFonts w:eastAsia="Times New Roman" w:cstheme="minorHAnsi"/>
        </w:rPr>
        <w:t>he gathering, researching, digitizing, and reviewing of utility records, local codes, tax parcel information and other available data to generate a records-based inventory. Projects may also include data analysis and statistical modeling to determine probable lead service line locations or to check the accuracy of existing records. Geolocation of service lines and meters may also be included in this project type. Home visits/verification of the visible portion of the pipe or other activities that involve engagement with utility customers to assist with service line material verification are eligible.</w:t>
      </w:r>
      <w:r w:rsidR="007B65C5" w:rsidRPr="007B65C5">
        <w:rPr>
          <w:rFonts w:eastAsia="Times New Roman" w:cstheme="minorHAnsi"/>
        </w:rPr>
        <w:t xml:space="preserve"> </w:t>
      </w:r>
    </w:p>
    <w:p w14:paraId="6AFA0C63" w14:textId="398819FF" w:rsidR="005F140B" w:rsidRPr="00DF5BB7" w:rsidRDefault="00FA7D6C" w:rsidP="004E37AE">
      <w:pPr>
        <w:rPr>
          <w:rFonts w:eastAsia="Times New Roman" w:cstheme="minorHAnsi"/>
        </w:rPr>
      </w:pPr>
      <w:r w:rsidRPr="00FA7D6C">
        <w:rPr>
          <w:rFonts w:eastAsia="Times New Roman" w:cstheme="minorHAnsi"/>
          <w:b/>
          <w:bCs/>
          <w:noProof/>
        </w:rPr>
        <mc:AlternateContent>
          <mc:Choice Requires="wps">
            <w:drawing>
              <wp:anchor distT="0" distB="0" distL="457200" distR="114300" simplePos="0" relativeHeight="251661312" behindDoc="0" locked="0" layoutInCell="0" allowOverlap="1" wp14:anchorId="593DF6E0" wp14:editId="6A73CA05">
                <wp:simplePos x="0" y="0"/>
                <wp:positionH relativeFrom="page">
                  <wp:posOffset>5362575</wp:posOffset>
                </wp:positionH>
                <wp:positionV relativeFrom="margin">
                  <wp:posOffset>2733675</wp:posOffset>
                </wp:positionV>
                <wp:extent cx="1880870" cy="4552950"/>
                <wp:effectExtent l="0" t="0" r="24130" b="1905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870" cy="4552950"/>
                        </a:xfrm>
                        <a:prstGeom prst="rect">
                          <a:avLst/>
                        </a:prstGeom>
                        <a:solidFill>
                          <a:schemeClr val="tx2">
                            <a:lumMod val="20000"/>
                            <a:lumOff val="80000"/>
                            <a:alpha val="34902"/>
                          </a:schemeClr>
                        </a:solidFill>
                        <a:ln>
                          <a:solidFill>
                            <a:schemeClr val="accent1"/>
                          </a:solidFill>
                        </a:ln>
                      </wps:spPr>
                      <wps:txbx>
                        <w:txbxContent>
                          <w:p w14:paraId="411AF1A7" w14:textId="3834E78D" w:rsidR="00FA7D6C" w:rsidRDefault="00FA7D6C" w:rsidP="00FA7D6C">
                            <w:pPr>
                              <w:spacing w:before="60" w:after="240"/>
                              <w:rPr>
                                <w:b/>
                                <w:bCs/>
                                <w:color w:val="323E4F" w:themeColor="text2" w:themeShade="BF"/>
                                <w:sz w:val="28"/>
                                <w:szCs w:val="28"/>
                              </w:rPr>
                            </w:pPr>
                            <w:r>
                              <w:rPr>
                                <w:b/>
                                <w:bCs/>
                                <w:color w:val="323E4F" w:themeColor="text2" w:themeShade="BF"/>
                                <w:sz w:val="28"/>
                                <w:szCs w:val="28"/>
                              </w:rPr>
                              <w:t>What is the PWS Portal? What is the State Dashboard?</w:t>
                            </w:r>
                          </w:p>
                          <w:p w14:paraId="02D38FD7" w14:textId="7235E14E" w:rsidR="00FA7D6C" w:rsidRPr="007F7EA9" w:rsidRDefault="00FA7D6C" w:rsidP="00FA7D6C">
                            <w:pPr>
                              <w:pStyle w:val="ListParagraph"/>
                              <w:spacing w:after="120"/>
                              <w:ind w:left="0"/>
                              <w:contextualSpacing w:val="0"/>
                              <w:rPr>
                                <w:rFonts w:eastAsia="Times New Roman" w:cstheme="minorHAnsi"/>
                              </w:rPr>
                            </w:pPr>
                            <w:r>
                              <w:rPr>
                                <w:rFonts w:eastAsia="Times New Roman" w:cstheme="minorHAnsi"/>
                              </w:rPr>
                              <w:t xml:space="preserve">The </w:t>
                            </w:r>
                            <w:r w:rsidRPr="00003872">
                              <w:rPr>
                                <w:rFonts w:eastAsia="Times New Roman" w:cstheme="minorHAnsi"/>
                              </w:rPr>
                              <w:t>PWS Portal is where utilities will manage their LSL inventories.</w:t>
                            </w:r>
                            <w:r>
                              <w:rPr>
                                <w:rFonts w:eastAsia="Times New Roman" w:cstheme="minorHAnsi"/>
                              </w:rPr>
                              <w:t xml:space="preserve"> The </w:t>
                            </w:r>
                            <w:r w:rsidRPr="00003872">
                              <w:rPr>
                                <w:rFonts w:eastAsia="Times New Roman" w:cstheme="minorHAnsi"/>
                              </w:rPr>
                              <w:t>State Dashboard is where IDEM will view LSL inventories</w:t>
                            </w:r>
                            <w:r>
                              <w:rPr>
                                <w:rFonts w:eastAsia="Times New Roman" w:cstheme="minorHAnsi"/>
                              </w:rPr>
                              <w:t xml:space="preserve">. </w:t>
                            </w:r>
                            <w:r w:rsidRPr="00003872">
                              <w:rPr>
                                <w:rFonts w:eastAsia="Times New Roman" w:cstheme="minorHAnsi"/>
                              </w:rPr>
                              <w:t>Utilities will “upload” LSL data into the Portal.</w:t>
                            </w:r>
                            <w:r>
                              <w:rPr>
                                <w:rFonts w:eastAsia="Times New Roman" w:cstheme="minorHAnsi"/>
                              </w:rPr>
                              <w:t xml:space="preserve"> </w:t>
                            </w:r>
                            <w:r w:rsidRPr="007F7EA9">
                              <w:rPr>
                                <w:rFonts w:eastAsia="Times New Roman" w:cstheme="minorHAnsi"/>
                              </w:rPr>
                              <w:t xml:space="preserve">Once uploaded, </w:t>
                            </w:r>
                            <w:r w:rsidR="007022C4">
                              <w:rPr>
                                <w:rFonts w:eastAsia="Times New Roman" w:cstheme="minorHAnsi"/>
                              </w:rPr>
                              <w:t>u</w:t>
                            </w:r>
                            <w:r w:rsidRPr="007F7EA9">
                              <w:rPr>
                                <w:rFonts w:eastAsia="Times New Roman" w:cstheme="minorHAnsi"/>
                              </w:rPr>
                              <w:t>tilities will “submit” data  to State Dashboard</w:t>
                            </w:r>
                            <w:bookmarkStart w:id="8" w:name="_Hlk155882273"/>
                            <w:bookmarkStart w:id="9" w:name="_Hlk155872320"/>
                            <w:r>
                              <w:rPr>
                                <w:rFonts w:eastAsia="Times New Roman" w:cstheme="minorHAnsi"/>
                              </w:rPr>
                              <w:t xml:space="preserve">, which triggers </w:t>
                            </w:r>
                            <w:r w:rsidR="00DA7857">
                              <w:rPr>
                                <w:rFonts w:eastAsia="Times New Roman" w:cstheme="minorHAnsi"/>
                              </w:rPr>
                              <w:t>additional</w:t>
                            </w:r>
                            <w:r>
                              <w:rPr>
                                <w:rFonts w:eastAsia="Times New Roman" w:cstheme="minorHAnsi"/>
                              </w:rPr>
                              <w:t xml:space="preserve"> regulatory steps. </w:t>
                            </w:r>
                            <w:bookmarkEnd w:id="8"/>
                            <w:r w:rsidRPr="007F7EA9">
                              <w:rPr>
                                <w:rFonts w:eastAsia="Times New Roman" w:cstheme="minorHAnsi"/>
                              </w:rPr>
                              <w:t>Uploading and submitting are separate steps that both happen in the Portal</w:t>
                            </w:r>
                            <w:bookmarkEnd w:id="9"/>
                            <w:r w:rsidRPr="007F7EA9">
                              <w:rPr>
                                <w:rFonts w:eastAsia="Times New Roman" w:cstheme="minorHAnsi"/>
                              </w:rPr>
                              <w:t>.</w:t>
                            </w:r>
                            <w:r>
                              <w:rPr>
                                <w:rFonts w:eastAsia="Times New Roman" w:cstheme="minorHAnsi"/>
                              </w:rPr>
                              <w:t xml:space="preserve"> </w:t>
                            </w:r>
                            <w:bookmarkStart w:id="10" w:name="_Hlk155882289"/>
                            <w:r>
                              <w:rPr>
                                <w:rFonts w:eastAsia="Times New Roman" w:cstheme="minorHAnsi"/>
                              </w:rPr>
                              <w:t>120 Water is the technology company that is managing the Portal</w:t>
                            </w:r>
                            <w:r w:rsidR="007022C4">
                              <w:rPr>
                                <w:rFonts w:eastAsia="Times New Roman" w:cstheme="minorHAnsi"/>
                              </w:rPr>
                              <w:t xml:space="preserve"> on behalf of IDEM</w:t>
                            </w:r>
                            <w:r>
                              <w:rPr>
                                <w:rFonts w:eastAsia="Times New Roman" w:cstheme="minorHAnsi"/>
                              </w:rPr>
                              <w:t>.</w:t>
                            </w:r>
                            <w:bookmarkEnd w:id="10"/>
                          </w:p>
                          <w:p w14:paraId="1D7BD944" w14:textId="5E493E8C" w:rsidR="00FA7D6C" w:rsidRDefault="00FA7D6C" w:rsidP="00FA7D6C">
                            <w:pPr>
                              <w:rPr>
                                <w:rStyle w:val="PlaceholderText"/>
                                <w:color w:val="323E4F" w:themeColor="text2" w:themeShade="BF"/>
                              </w:rPr>
                            </w:pPr>
                          </w:p>
                        </w:txbxContent>
                      </wps:txbx>
                      <wps:bodyPr rot="0" vert="horz" wrap="square" lIns="91440" tIns="91440" rIns="91440" bIns="182880" anchor="t" anchorCtr="0" upright="1">
                        <a:noAutofit/>
                      </wps:bodyPr>
                    </wps:wsp>
                  </a:graphicData>
                </a:graphic>
                <wp14:sizeRelH relativeFrom="page">
                  <wp14:pctWidth>24200</wp14:pctWidth>
                </wp14:sizeRelH>
                <wp14:sizeRelV relativeFrom="margin">
                  <wp14:pctHeight>0</wp14:pctHeight>
                </wp14:sizeRelV>
              </wp:anchor>
            </w:drawing>
          </mc:Choice>
          <mc:Fallback>
            <w:pict>
              <v:rect w14:anchorId="593DF6E0" id="AutoShape 14" o:spid="_x0000_s1026" style="position:absolute;margin-left:422.25pt;margin-top:215.25pt;width:148.1pt;height:358.5pt;z-index:251661312;visibility:visible;mso-wrap-style:square;mso-width-percent:242;mso-height-percent:0;mso-wrap-distance-left:36pt;mso-wrap-distance-top:0;mso-wrap-distance-right:9pt;mso-wrap-distance-bottom:0;mso-position-horizontal:absolute;mso-position-horizontal-relative:page;mso-position-vertical:absolute;mso-position-vertical-relative:margin;mso-width-percent:242;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" o:allowincell="f" fillcolor="#d5dce4 [671]" strokecolor="#4472c4 [3204]">
                <v:fill opacity="22873f"/>
                <v:textbox inset=",7.2pt,,14.4pt">
                  <w:txbxContent>
                    <w:p w14:paraId="411AF1A7" w14:textId="3834E78D" w:rsidR="00FA7D6C" w:rsidRDefault="00FA7D6C" w:rsidP="00FA7D6C">
                      <w:pPr>
                        <w:spacing w:before="60" w:after="240"/>
                        <w:rPr>
                          <w:b/>
                          <w:bCs/>
                          <w:color w:val="323E4F" w:themeColor="text2" w:themeShade="BF"/>
                          <w:sz w:val="28"/>
                          <w:szCs w:val="28"/>
                        </w:rPr>
                      </w:pPr>
                      <w:r>
                        <w:rPr>
                          <w:b/>
                          <w:bCs/>
                          <w:color w:val="323E4F" w:themeColor="text2" w:themeShade="BF"/>
                          <w:sz w:val="28"/>
                          <w:szCs w:val="28"/>
                        </w:rPr>
                        <w:t>What is the PWS Portal? What is the State Dashboard?</w:t>
                      </w:r>
                    </w:p>
                    <w:p w14:paraId="02D38FD7" w14:textId="7235E14E" w:rsidR="00FA7D6C" w:rsidRPr="007F7EA9" w:rsidRDefault="00FA7D6C" w:rsidP="00FA7D6C">
                      <w:pPr>
                        <w:pStyle w:val="ListParagraph"/>
                        <w:spacing w:after="120"/>
                        <w:ind w:left="0"/>
                        <w:contextualSpacing w:val="0"/>
                        <w:rPr>
                          <w:rFonts w:eastAsia="Times New Roman" w:cstheme="minorHAnsi"/>
                        </w:rPr>
                      </w:pPr>
                      <w:r>
                        <w:rPr>
                          <w:rFonts w:eastAsia="Times New Roman" w:cstheme="minorHAnsi"/>
                        </w:rPr>
                        <w:t xml:space="preserve">The </w:t>
                      </w:r>
                      <w:r w:rsidRPr="00003872">
                        <w:rPr>
                          <w:rFonts w:eastAsia="Times New Roman" w:cstheme="minorHAnsi"/>
                        </w:rPr>
                        <w:t>PWS Portal is where utilities will manage their LSL inventories.</w:t>
                      </w:r>
                      <w:r>
                        <w:rPr>
                          <w:rFonts w:eastAsia="Times New Roman" w:cstheme="minorHAnsi"/>
                        </w:rPr>
                        <w:t xml:space="preserve"> The </w:t>
                      </w:r>
                      <w:r w:rsidRPr="00003872">
                        <w:rPr>
                          <w:rFonts w:eastAsia="Times New Roman" w:cstheme="minorHAnsi"/>
                        </w:rPr>
                        <w:t>State Dashboard is where IDEM will view LSL inventories</w:t>
                      </w:r>
                      <w:r>
                        <w:rPr>
                          <w:rFonts w:eastAsia="Times New Roman" w:cstheme="minorHAnsi"/>
                        </w:rPr>
                        <w:t xml:space="preserve">. </w:t>
                      </w:r>
                      <w:r w:rsidRPr="00003872">
                        <w:rPr>
                          <w:rFonts w:eastAsia="Times New Roman" w:cstheme="minorHAnsi"/>
                        </w:rPr>
                        <w:t>Utilities will “upload” LSL data into the Portal.</w:t>
                      </w:r>
                      <w:r>
                        <w:rPr>
                          <w:rFonts w:eastAsia="Times New Roman" w:cstheme="minorHAnsi"/>
                        </w:rPr>
                        <w:t xml:space="preserve"> </w:t>
                      </w:r>
                      <w:r w:rsidRPr="007F7EA9">
                        <w:rPr>
                          <w:rFonts w:eastAsia="Times New Roman" w:cstheme="minorHAnsi"/>
                        </w:rPr>
                        <w:t xml:space="preserve">Once uploaded, </w:t>
                      </w:r>
                      <w:r w:rsidR="007022C4">
                        <w:rPr>
                          <w:rFonts w:eastAsia="Times New Roman" w:cstheme="minorHAnsi"/>
                        </w:rPr>
                        <w:t>u</w:t>
                      </w:r>
                      <w:r w:rsidRPr="007F7EA9">
                        <w:rPr>
                          <w:rFonts w:eastAsia="Times New Roman" w:cstheme="minorHAnsi"/>
                        </w:rPr>
                        <w:t>tilities will “submit” data  to State Dashboard</w:t>
                      </w:r>
                      <w:bookmarkStart w:id="11" w:name="_Hlk155882273"/>
                      <w:bookmarkStart w:id="12" w:name="_Hlk155872320"/>
                      <w:r>
                        <w:rPr>
                          <w:rFonts w:eastAsia="Times New Roman" w:cstheme="minorHAnsi"/>
                        </w:rPr>
                        <w:t xml:space="preserve">, which triggers </w:t>
                      </w:r>
                      <w:r w:rsidR="00DA7857">
                        <w:rPr>
                          <w:rFonts w:eastAsia="Times New Roman" w:cstheme="minorHAnsi"/>
                        </w:rPr>
                        <w:t>additional</w:t>
                      </w:r>
                      <w:r>
                        <w:rPr>
                          <w:rFonts w:eastAsia="Times New Roman" w:cstheme="minorHAnsi"/>
                        </w:rPr>
                        <w:t xml:space="preserve"> regulatory steps. </w:t>
                      </w:r>
                      <w:bookmarkEnd w:id="11"/>
                      <w:r w:rsidRPr="007F7EA9">
                        <w:rPr>
                          <w:rFonts w:eastAsia="Times New Roman" w:cstheme="minorHAnsi"/>
                        </w:rPr>
                        <w:t>Uploading and submitting are separate steps that both happen in the Portal</w:t>
                      </w:r>
                      <w:bookmarkEnd w:id="12"/>
                      <w:r w:rsidRPr="007F7EA9">
                        <w:rPr>
                          <w:rFonts w:eastAsia="Times New Roman" w:cstheme="minorHAnsi"/>
                        </w:rPr>
                        <w:t>.</w:t>
                      </w:r>
                      <w:r>
                        <w:rPr>
                          <w:rFonts w:eastAsia="Times New Roman" w:cstheme="minorHAnsi"/>
                        </w:rPr>
                        <w:t xml:space="preserve"> </w:t>
                      </w:r>
                      <w:bookmarkStart w:id="13" w:name="_Hlk155882289"/>
                      <w:r>
                        <w:rPr>
                          <w:rFonts w:eastAsia="Times New Roman" w:cstheme="minorHAnsi"/>
                        </w:rPr>
                        <w:t>120 Water is the technology company that is managing the Portal</w:t>
                      </w:r>
                      <w:r w:rsidR="007022C4">
                        <w:rPr>
                          <w:rFonts w:eastAsia="Times New Roman" w:cstheme="minorHAnsi"/>
                        </w:rPr>
                        <w:t xml:space="preserve"> on behalf of IDEM</w:t>
                      </w:r>
                      <w:r>
                        <w:rPr>
                          <w:rFonts w:eastAsia="Times New Roman" w:cstheme="minorHAnsi"/>
                        </w:rPr>
                        <w:t>.</w:t>
                      </w:r>
                      <w:bookmarkEnd w:id="13"/>
                    </w:p>
                    <w:p w14:paraId="1D7BD944" w14:textId="5E493E8C" w:rsidR="00FA7D6C" w:rsidRDefault="00FA7D6C" w:rsidP="00FA7D6C">
                      <w:pPr>
                        <w:rPr>
                          <w:rStyle w:val="PlaceholderText"/>
                          <w:color w:val="323E4F" w:themeColor="text2" w:themeShade="BF"/>
                        </w:rPr>
                      </w:pPr>
                    </w:p>
                  </w:txbxContent>
                </v:textbox>
                <w10:wrap type="square" anchorx="page" anchory="margin"/>
              </v:rect>
            </w:pict>
          </mc:Fallback>
        </mc:AlternateContent>
      </w:r>
      <w:r w:rsidR="004305A5" w:rsidRPr="00254010">
        <w:rPr>
          <w:rFonts w:eastAsia="Times New Roman" w:cstheme="minorHAnsi"/>
          <w:b/>
          <w:bCs/>
        </w:rPr>
        <w:t>Project Type II. LSL Replacement Planning</w:t>
      </w:r>
      <w:r w:rsidR="004305A5" w:rsidRPr="00254010">
        <w:rPr>
          <w:rFonts w:eastAsia="Times New Roman" w:cstheme="minorHAnsi"/>
        </w:rPr>
        <w:br/>
        <w:t>T</w:t>
      </w:r>
      <w:r w:rsidR="0036303A">
        <w:rPr>
          <w:rFonts w:eastAsia="Times New Roman" w:cstheme="minorHAnsi"/>
        </w:rPr>
        <w:t>ype II projects include t</w:t>
      </w:r>
      <w:r w:rsidR="004305A5" w:rsidRPr="00254010">
        <w:rPr>
          <w:rFonts w:eastAsia="Times New Roman" w:cstheme="minorHAnsi"/>
        </w:rPr>
        <w:t>he development of plan</w:t>
      </w:r>
      <w:r w:rsidR="0036303A">
        <w:rPr>
          <w:rFonts w:eastAsia="Times New Roman" w:cstheme="minorHAnsi"/>
        </w:rPr>
        <w:t>s</w:t>
      </w:r>
      <w:r w:rsidR="004305A5" w:rsidRPr="00254010">
        <w:rPr>
          <w:rFonts w:eastAsia="Times New Roman" w:cstheme="minorHAnsi"/>
        </w:rPr>
        <w:t xml:space="preserve"> to replace lead service lines in conjunction with other projects and/or prioritizing at risk or disadvantaged communities as well as other activities related to the incorporation of service line information into the water system’s Asset Management Program. Some specific examples of project deliverables include: a Preliminary Engineering Report (PER) for future LSLR projects and standing up or updating an asset management program inclusive of service line condition assessments. Customer outreach programs to </w:t>
      </w:r>
      <w:r w:rsidR="004305A5" w:rsidRPr="00DF5BB7">
        <w:rPr>
          <w:rFonts w:eastAsia="Times New Roman" w:cstheme="minorHAnsi"/>
        </w:rPr>
        <w:t xml:space="preserve">encourage customers to participate in a replacement initiative or to provide education on LSLR are also eligible activities. </w:t>
      </w:r>
      <w:r w:rsidR="00803465" w:rsidRPr="00DF5BB7">
        <w:rPr>
          <w:rFonts w:eastAsia="Times New Roman" w:cstheme="minorHAnsi"/>
        </w:rPr>
        <w:t xml:space="preserve">Please note that any utility requesting funds for Project Type II must first have </w:t>
      </w:r>
      <w:r w:rsidR="005F140B" w:rsidRPr="00DF5BB7">
        <w:rPr>
          <w:rFonts w:eastAsia="Times New Roman" w:cstheme="minorHAnsi"/>
        </w:rPr>
        <w:t xml:space="preserve">uploaded </w:t>
      </w:r>
      <w:proofErr w:type="gramStart"/>
      <w:r w:rsidR="005F140B" w:rsidRPr="00DF5BB7">
        <w:rPr>
          <w:rFonts w:eastAsia="Times New Roman" w:cstheme="minorHAnsi"/>
        </w:rPr>
        <w:t>the majority of</w:t>
      </w:r>
      <w:proofErr w:type="gramEnd"/>
      <w:r w:rsidR="005F140B" w:rsidRPr="00DF5BB7">
        <w:rPr>
          <w:rFonts w:eastAsia="Times New Roman" w:cstheme="minorHAnsi"/>
        </w:rPr>
        <w:t xml:space="preserve"> their lead service line inventory to IDEM</w:t>
      </w:r>
      <w:r w:rsidR="0036303A">
        <w:rPr>
          <w:rFonts w:eastAsia="Times New Roman" w:cstheme="minorHAnsi"/>
        </w:rPr>
        <w:t>’s 120 Water</w:t>
      </w:r>
      <w:r w:rsidR="005F140B" w:rsidRPr="00DF5BB7">
        <w:rPr>
          <w:rFonts w:eastAsia="Times New Roman" w:cstheme="minorHAnsi"/>
        </w:rPr>
        <w:t xml:space="preserve"> “PWS Portal</w:t>
      </w:r>
      <w:r w:rsidR="00DF5BB7" w:rsidRPr="00DF5BB7">
        <w:rPr>
          <w:rFonts w:eastAsia="Times New Roman" w:cstheme="minorHAnsi"/>
        </w:rPr>
        <w:t xml:space="preserve">”. </w:t>
      </w:r>
    </w:p>
    <w:p w14:paraId="67AB91F9" w14:textId="01310DDC" w:rsidR="00692505" w:rsidRPr="00DF5BB7" w:rsidRDefault="004305A5" w:rsidP="004305A5">
      <w:pPr>
        <w:rPr>
          <w:rFonts w:eastAsia="Times New Roman" w:cstheme="minorHAnsi"/>
        </w:rPr>
      </w:pPr>
      <w:r w:rsidRPr="00DF5BB7">
        <w:rPr>
          <w:rFonts w:eastAsia="Times New Roman" w:cstheme="minorHAnsi"/>
          <w:b/>
          <w:bCs/>
        </w:rPr>
        <w:t>Project Type III. Service Line Inspection &amp; Inventory Validation</w:t>
      </w:r>
      <w:r w:rsidRPr="00DF5BB7">
        <w:rPr>
          <w:rFonts w:eastAsia="Times New Roman" w:cstheme="minorHAnsi"/>
        </w:rPr>
        <w:br/>
      </w:r>
      <w:r w:rsidR="00FA7D6C">
        <w:rPr>
          <w:rFonts w:eastAsia="Times New Roman" w:cstheme="minorHAnsi"/>
        </w:rPr>
        <w:t>Type III projects include o</w:t>
      </w:r>
      <w:r w:rsidRPr="00DF5BB7">
        <w:rPr>
          <w:rFonts w:eastAsia="Times New Roman" w:cstheme="minorHAnsi"/>
        </w:rPr>
        <w:t>nsite investigations of service line materials to supplement, inform or validate utility records or inventory models. Inspection activities may include excavation, vacuum/hydro-excavation, surface testing of the service line materials, water testing, and other emerging technologies. Home visits/verification of the visible portion of the pipe or other activities that involve engagement with utility customers to assist with service line material verification are eligible.</w:t>
      </w:r>
      <w:r w:rsidR="00803465" w:rsidRPr="00DF5BB7">
        <w:rPr>
          <w:rFonts w:eastAsia="Times New Roman" w:cstheme="minorHAnsi"/>
        </w:rPr>
        <w:t xml:space="preserve"> </w:t>
      </w:r>
      <w:r w:rsidR="00DF5BB7" w:rsidRPr="00DF5BB7">
        <w:rPr>
          <w:rFonts w:eastAsia="Times New Roman" w:cstheme="minorHAnsi"/>
        </w:rPr>
        <w:t xml:space="preserve">Please note that any utility requesting funds for Project Type III must first have uploaded </w:t>
      </w:r>
      <w:proofErr w:type="gramStart"/>
      <w:r w:rsidR="00DF5BB7" w:rsidRPr="00DF5BB7">
        <w:rPr>
          <w:rFonts w:eastAsia="Times New Roman" w:cstheme="minorHAnsi"/>
        </w:rPr>
        <w:t>the majority of</w:t>
      </w:r>
      <w:proofErr w:type="gramEnd"/>
      <w:r w:rsidR="00DF5BB7" w:rsidRPr="00DF5BB7">
        <w:rPr>
          <w:rFonts w:eastAsia="Times New Roman" w:cstheme="minorHAnsi"/>
        </w:rPr>
        <w:t xml:space="preserve"> their lead service line inventory to the IDEM “PWS Portal”. </w:t>
      </w:r>
      <w:r w:rsidR="007022C4">
        <w:rPr>
          <w:rFonts w:eastAsia="Times New Roman" w:cstheme="minorHAnsi"/>
          <w:highlight w:val="yellow"/>
        </w:rPr>
        <w:t xml:space="preserve">Equipment purchase </w:t>
      </w:r>
      <w:r w:rsidR="00CF3A3E" w:rsidRPr="00CF3A3E">
        <w:rPr>
          <w:rFonts w:eastAsia="Times New Roman" w:cstheme="minorHAnsi"/>
          <w:highlight w:val="yellow"/>
        </w:rPr>
        <w:t>is no longer eligible. All work must be done via a Professional Services Agreement</w:t>
      </w:r>
      <w:r w:rsidR="007022C4">
        <w:rPr>
          <w:rFonts w:eastAsia="Times New Roman" w:cstheme="minorHAnsi"/>
          <w:highlight w:val="yellow"/>
        </w:rPr>
        <w:t xml:space="preserve"> with the IFA</w:t>
      </w:r>
      <w:r w:rsidR="00CF3A3E" w:rsidRPr="00CF3A3E">
        <w:rPr>
          <w:rFonts w:eastAsia="Times New Roman" w:cstheme="minorHAnsi"/>
          <w:highlight w:val="yellow"/>
        </w:rPr>
        <w:t>.</w:t>
      </w:r>
      <w:r w:rsidR="00CF3A3E">
        <w:rPr>
          <w:rFonts w:eastAsia="Times New Roman" w:cstheme="minorHAnsi"/>
        </w:rPr>
        <w:t xml:space="preserve"> </w:t>
      </w:r>
    </w:p>
    <w:p w14:paraId="65DA9381" w14:textId="77777777" w:rsidR="00FA7D6C" w:rsidRDefault="00FA7D6C">
      <w:pPr>
        <w:rPr>
          <w:rFonts w:eastAsia="Times New Roman" w:cstheme="minorHAnsi"/>
          <w:b/>
          <w:bCs/>
        </w:rPr>
      </w:pPr>
      <w:bookmarkStart w:id="14" w:name="_Table_1._Funding"/>
      <w:bookmarkEnd w:id="14"/>
      <w:r>
        <w:rPr>
          <w:rFonts w:eastAsia="Times New Roman" w:cstheme="minorHAnsi"/>
          <w:b/>
          <w:bCs/>
        </w:rPr>
        <w:br w:type="page"/>
      </w:r>
    </w:p>
    <w:p w14:paraId="5FBD0897" w14:textId="4B21AC44" w:rsidR="004A3FC0" w:rsidRPr="00DF5BB7" w:rsidRDefault="004A3FC0" w:rsidP="004A3FC0">
      <w:pPr>
        <w:rPr>
          <w:rFonts w:eastAsia="Times New Roman" w:cstheme="minorHAnsi"/>
          <w:b/>
          <w:bCs/>
        </w:rPr>
      </w:pPr>
      <w:r w:rsidRPr="00DF5BB7">
        <w:rPr>
          <w:rFonts w:eastAsia="Times New Roman" w:cstheme="minorHAnsi"/>
          <w:b/>
          <w:bCs/>
        </w:rPr>
        <w:lastRenderedPageBreak/>
        <w:t>Combining Project Types</w:t>
      </w:r>
    </w:p>
    <w:p w14:paraId="5007C967" w14:textId="0DE32BDA" w:rsidR="004A3FC0" w:rsidRPr="00DF5BB7" w:rsidRDefault="007C4C1D" w:rsidP="00246D2B">
      <w:pPr>
        <w:spacing w:after="0"/>
      </w:pPr>
      <w:r w:rsidRPr="00DF5BB7">
        <w:t xml:space="preserve">The IFA will accept one application per PWSID (per round; see Section </w:t>
      </w:r>
      <w:r w:rsidR="001468D2" w:rsidRPr="00DF5BB7">
        <w:t>8</w:t>
      </w:r>
      <w:r w:rsidRPr="00DF5BB7">
        <w:t>) and a utility may submit as many Project Types (I, II, III) as desired on that one application</w:t>
      </w:r>
      <w:r w:rsidR="004970FD" w:rsidRPr="00DF5BB7">
        <w:t xml:space="preserve">, subject to the </w:t>
      </w:r>
      <w:r w:rsidR="004A3FC0" w:rsidRPr="00DF5BB7">
        <w:rPr>
          <w:rFonts w:eastAsia="Times New Roman" w:cstheme="minorHAnsi"/>
        </w:rPr>
        <w:t>follow</w:t>
      </w:r>
      <w:r w:rsidR="004970FD" w:rsidRPr="00DF5BB7">
        <w:rPr>
          <w:rFonts w:eastAsia="Times New Roman" w:cstheme="minorHAnsi"/>
        </w:rPr>
        <w:t>ing:</w:t>
      </w:r>
    </w:p>
    <w:p w14:paraId="4AE0FEFA" w14:textId="77777777" w:rsidR="00726BCE" w:rsidRPr="00DF5BB7" w:rsidRDefault="00726BCE" w:rsidP="00246D2B">
      <w:pPr>
        <w:spacing w:after="0"/>
        <w:rPr>
          <w:rFonts w:eastAsia="Times New Roman" w:cstheme="minorHAnsi"/>
        </w:rPr>
      </w:pPr>
    </w:p>
    <w:p w14:paraId="2C2E43E8" w14:textId="03F1B400" w:rsidR="004A3FC0" w:rsidRPr="00DF5BB7" w:rsidRDefault="004A3FC0" w:rsidP="00246D2B">
      <w:pPr>
        <w:pStyle w:val="ListParagraph"/>
        <w:numPr>
          <w:ilvl w:val="0"/>
          <w:numId w:val="23"/>
        </w:numPr>
        <w:spacing w:after="0"/>
        <w:rPr>
          <w:rFonts w:eastAsia="Times New Roman" w:cstheme="minorHAnsi"/>
        </w:rPr>
      </w:pPr>
      <w:r w:rsidRPr="00DF5BB7">
        <w:rPr>
          <w:rFonts w:eastAsia="Times New Roman" w:cstheme="minorHAnsi"/>
        </w:rPr>
        <w:t xml:space="preserve">Any utility requesting funds for Project Type II or III must first have </w:t>
      </w:r>
      <w:r w:rsidR="00DF5BB7" w:rsidRPr="00DF5BB7">
        <w:rPr>
          <w:rFonts w:eastAsia="Times New Roman" w:cstheme="minorHAnsi"/>
        </w:rPr>
        <w:t xml:space="preserve">uploaded </w:t>
      </w:r>
      <w:proofErr w:type="gramStart"/>
      <w:r w:rsidR="00DF5BB7" w:rsidRPr="00DF5BB7">
        <w:rPr>
          <w:rFonts w:eastAsia="Times New Roman" w:cstheme="minorHAnsi"/>
        </w:rPr>
        <w:t>the majority of</w:t>
      </w:r>
      <w:proofErr w:type="gramEnd"/>
      <w:r w:rsidR="00DF5BB7" w:rsidRPr="00DF5BB7">
        <w:rPr>
          <w:rFonts w:eastAsia="Times New Roman" w:cstheme="minorHAnsi"/>
        </w:rPr>
        <w:t xml:space="preserve"> their lead service line inventory to the IDEM “PWS Portal”. </w:t>
      </w:r>
      <w:r w:rsidR="001B662C" w:rsidRPr="00DF5BB7">
        <w:rPr>
          <w:rFonts w:eastAsia="Times New Roman" w:cstheme="minorHAnsi"/>
        </w:rPr>
        <w:t>Please note the IFA does not expect utilities to have fully complete inventories (</w:t>
      </w:r>
      <w:r w:rsidR="00C71C8F" w:rsidRPr="00DF5BB7">
        <w:rPr>
          <w:rFonts w:eastAsia="Times New Roman" w:cstheme="minorHAnsi"/>
        </w:rPr>
        <w:t xml:space="preserve">in other words, </w:t>
      </w:r>
      <w:r w:rsidR="001B662C" w:rsidRPr="00DF5BB7">
        <w:rPr>
          <w:rFonts w:eastAsia="Times New Roman" w:cstheme="minorHAnsi"/>
        </w:rPr>
        <w:t>0% unknown service lines remaining)</w:t>
      </w:r>
      <w:r w:rsidR="00C71C8F" w:rsidRPr="00DF5BB7">
        <w:rPr>
          <w:rFonts w:eastAsia="Times New Roman" w:cstheme="minorHAnsi"/>
        </w:rPr>
        <w:t xml:space="preserve"> but IFA does expect the submittal to account for </w:t>
      </w:r>
      <w:proofErr w:type="gramStart"/>
      <w:r w:rsidR="003A1891">
        <w:rPr>
          <w:rFonts w:eastAsia="Times New Roman" w:cstheme="minorHAnsi"/>
        </w:rPr>
        <w:t xml:space="preserve">the majority </w:t>
      </w:r>
      <w:r w:rsidR="004970FD" w:rsidRPr="00DF5BB7">
        <w:rPr>
          <w:rFonts w:eastAsia="Times New Roman" w:cstheme="minorHAnsi"/>
        </w:rPr>
        <w:t>of</w:t>
      </w:r>
      <w:proofErr w:type="gramEnd"/>
      <w:r w:rsidR="004970FD" w:rsidRPr="00DF5BB7">
        <w:rPr>
          <w:rFonts w:eastAsia="Times New Roman" w:cstheme="minorHAnsi"/>
        </w:rPr>
        <w:t xml:space="preserve"> the </w:t>
      </w:r>
      <w:r w:rsidR="00C71C8F" w:rsidRPr="00DF5BB7">
        <w:rPr>
          <w:rFonts w:eastAsia="Times New Roman" w:cstheme="minorHAnsi"/>
        </w:rPr>
        <w:t xml:space="preserve">services lines in the service territory. </w:t>
      </w:r>
    </w:p>
    <w:p w14:paraId="622291DA" w14:textId="0B67B6A3" w:rsidR="004A3FC0" w:rsidRDefault="007022C4" w:rsidP="00246D2B">
      <w:pPr>
        <w:pStyle w:val="ListParagraph"/>
        <w:numPr>
          <w:ilvl w:val="0"/>
          <w:numId w:val="23"/>
        </w:numPr>
        <w:spacing w:after="0"/>
        <w:rPr>
          <w:rFonts w:eastAsia="Times New Roman" w:cstheme="minorHAnsi"/>
        </w:rPr>
      </w:pPr>
      <w:r>
        <w:rPr>
          <w:rFonts w:eastAsia="Times New Roman" w:cstheme="minorHAnsi"/>
        </w:rPr>
        <w:t xml:space="preserve">Applications may apply for </w:t>
      </w:r>
      <w:r w:rsidR="004A3FC0" w:rsidRPr="004A3FC0">
        <w:rPr>
          <w:rFonts w:eastAsia="Times New Roman" w:cstheme="minorHAnsi"/>
        </w:rPr>
        <w:t xml:space="preserve">Project Types II and III </w:t>
      </w:r>
      <w:r>
        <w:rPr>
          <w:rFonts w:eastAsia="Times New Roman" w:cstheme="minorHAnsi"/>
        </w:rPr>
        <w:t>simultaneously, m</w:t>
      </w:r>
      <w:r w:rsidR="004A3FC0" w:rsidRPr="004A3FC0">
        <w:rPr>
          <w:rFonts w:eastAsia="Times New Roman" w:cstheme="minorHAnsi"/>
        </w:rPr>
        <w:t xml:space="preserve">eaning a water system may conduct both </w:t>
      </w:r>
      <w:r w:rsidR="00B57B56" w:rsidRPr="004A3FC0">
        <w:rPr>
          <w:rFonts w:eastAsia="Times New Roman" w:cstheme="minorHAnsi"/>
        </w:rPr>
        <w:t>an</w:t>
      </w:r>
      <w:r w:rsidR="004970FD">
        <w:rPr>
          <w:rFonts w:eastAsia="Times New Roman" w:cstheme="minorHAnsi"/>
        </w:rPr>
        <w:t xml:space="preserve"> </w:t>
      </w:r>
      <w:r w:rsidR="005A5809" w:rsidRPr="004A3FC0">
        <w:rPr>
          <w:rFonts w:eastAsia="Times New Roman" w:cstheme="minorHAnsi"/>
        </w:rPr>
        <w:t xml:space="preserve">LSL replacement planning project </w:t>
      </w:r>
      <w:r w:rsidR="005A5809">
        <w:rPr>
          <w:rFonts w:eastAsia="Times New Roman" w:cstheme="minorHAnsi"/>
        </w:rPr>
        <w:t xml:space="preserve">and </w:t>
      </w:r>
      <w:r w:rsidR="00A13152">
        <w:rPr>
          <w:rFonts w:eastAsia="Times New Roman" w:cstheme="minorHAnsi"/>
        </w:rPr>
        <w:t>LSL Inventory</w:t>
      </w:r>
      <w:r w:rsidR="004A3FC0" w:rsidRPr="004A3FC0">
        <w:rPr>
          <w:rFonts w:eastAsia="Times New Roman" w:cstheme="minorHAnsi"/>
        </w:rPr>
        <w:t xml:space="preserve"> </w:t>
      </w:r>
      <w:r w:rsidR="006B6198">
        <w:rPr>
          <w:rFonts w:eastAsia="Times New Roman" w:cstheme="minorHAnsi"/>
        </w:rPr>
        <w:t>v</w:t>
      </w:r>
      <w:r w:rsidR="004A3FC0" w:rsidRPr="004A3FC0">
        <w:rPr>
          <w:rFonts w:eastAsia="Times New Roman" w:cstheme="minorHAnsi"/>
        </w:rPr>
        <w:t xml:space="preserve">alidation with IFA funds </w:t>
      </w:r>
      <w:r>
        <w:rPr>
          <w:rFonts w:eastAsia="Times New Roman" w:cstheme="minorHAnsi"/>
        </w:rPr>
        <w:t>at the same time</w:t>
      </w:r>
      <w:r w:rsidR="004A3FC0" w:rsidRPr="004A3FC0">
        <w:rPr>
          <w:rFonts w:eastAsia="Times New Roman" w:cstheme="minorHAnsi"/>
        </w:rPr>
        <w:t xml:space="preserve"> if desired. </w:t>
      </w:r>
    </w:p>
    <w:p w14:paraId="346FE59F" w14:textId="1AA94EF5" w:rsidR="00033E69" w:rsidRPr="004970FD" w:rsidRDefault="004A3FC0" w:rsidP="00246D2B">
      <w:pPr>
        <w:pStyle w:val="ListParagraph"/>
        <w:numPr>
          <w:ilvl w:val="0"/>
          <w:numId w:val="23"/>
        </w:numPr>
        <w:spacing w:after="0"/>
        <w:rPr>
          <w:rFonts w:eastAsia="Times New Roman" w:cstheme="minorHAnsi"/>
        </w:rPr>
      </w:pPr>
      <w:r w:rsidRPr="004970FD">
        <w:rPr>
          <w:rFonts w:eastAsia="Times New Roman" w:cstheme="minorHAnsi"/>
        </w:rPr>
        <w:t>Project Types I</w:t>
      </w:r>
      <w:r w:rsidR="005A5809" w:rsidRPr="004970FD">
        <w:rPr>
          <w:rFonts w:eastAsia="Times New Roman" w:cstheme="minorHAnsi"/>
        </w:rPr>
        <w:t xml:space="preserve">, II, and </w:t>
      </w:r>
      <w:r w:rsidRPr="004970FD">
        <w:rPr>
          <w:rFonts w:eastAsia="Times New Roman" w:cstheme="minorHAnsi"/>
        </w:rPr>
        <w:t xml:space="preserve">III can be combined </w:t>
      </w:r>
      <w:r w:rsidR="005A5809" w:rsidRPr="004970FD">
        <w:rPr>
          <w:rFonts w:eastAsia="Times New Roman" w:cstheme="minorHAnsi"/>
        </w:rPr>
        <w:t>in one application</w:t>
      </w:r>
      <w:r w:rsidR="006A04E3" w:rsidRPr="004970FD">
        <w:rPr>
          <w:rFonts w:eastAsia="Times New Roman" w:cstheme="minorHAnsi"/>
        </w:rPr>
        <w:t xml:space="preserve"> when </w:t>
      </w:r>
      <w:r w:rsidR="00E97F40" w:rsidRPr="004970FD">
        <w:rPr>
          <w:rFonts w:eastAsia="Times New Roman" w:cstheme="minorHAnsi"/>
        </w:rPr>
        <w:t>a</w:t>
      </w:r>
      <w:r w:rsidR="00033E69" w:rsidRPr="004970FD">
        <w:rPr>
          <w:rFonts w:eastAsia="Times New Roman" w:cstheme="minorHAnsi"/>
        </w:rPr>
        <w:t xml:space="preserve">n inventory has already been </w:t>
      </w:r>
      <w:r w:rsidR="00B97C77">
        <w:rPr>
          <w:rFonts w:eastAsia="Times New Roman" w:cstheme="minorHAnsi"/>
        </w:rPr>
        <w:t>upload</w:t>
      </w:r>
      <w:r w:rsidR="00033E69" w:rsidRPr="004970FD">
        <w:rPr>
          <w:rFonts w:eastAsia="Times New Roman" w:cstheme="minorHAnsi"/>
        </w:rPr>
        <w:t xml:space="preserve">ed </w:t>
      </w:r>
      <w:r w:rsidR="007022C4">
        <w:rPr>
          <w:rFonts w:eastAsia="Times New Roman" w:cstheme="minorHAnsi"/>
        </w:rPr>
        <w:t xml:space="preserve">to the PWS </w:t>
      </w:r>
      <w:proofErr w:type="gramStart"/>
      <w:r w:rsidR="007022C4">
        <w:rPr>
          <w:rFonts w:eastAsia="Times New Roman" w:cstheme="minorHAnsi"/>
        </w:rPr>
        <w:t>Portal</w:t>
      </w:r>
      <w:proofErr w:type="gramEnd"/>
      <w:r w:rsidR="007022C4">
        <w:rPr>
          <w:rFonts w:eastAsia="Times New Roman" w:cstheme="minorHAnsi"/>
        </w:rPr>
        <w:t xml:space="preserve"> </w:t>
      </w:r>
      <w:r w:rsidR="00033E69" w:rsidRPr="004970FD">
        <w:rPr>
          <w:rFonts w:eastAsia="Times New Roman" w:cstheme="minorHAnsi"/>
        </w:rPr>
        <w:t>but the utility wants to do more inventory work</w:t>
      </w:r>
      <w:r w:rsidR="006B6198" w:rsidRPr="004970FD">
        <w:rPr>
          <w:rFonts w:eastAsia="Times New Roman" w:cstheme="minorHAnsi"/>
        </w:rPr>
        <w:t xml:space="preserve"> (i.e.,</w:t>
      </w:r>
      <w:r w:rsidR="00033E69" w:rsidRPr="004970FD">
        <w:rPr>
          <w:rFonts w:eastAsia="Times New Roman" w:cstheme="minorHAnsi"/>
        </w:rPr>
        <w:t xml:space="preserve"> Type I project</w:t>
      </w:r>
      <w:r w:rsidR="006B6198" w:rsidRPr="004970FD">
        <w:rPr>
          <w:rFonts w:eastAsia="Times New Roman" w:cstheme="minorHAnsi"/>
        </w:rPr>
        <w:t>)</w:t>
      </w:r>
      <w:r w:rsidR="00033E69" w:rsidRPr="004970FD">
        <w:rPr>
          <w:rFonts w:eastAsia="Times New Roman" w:cstheme="minorHAnsi"/>
        </w:rPr>
        <w:t xml:space="preserve"> to reduce the number of unknowns, for instance. </w:t>
      </w:r>
    </w:p>
    <w:p w14:paraId="2475328A" w14:textId="753A329A" w:rsidR="000C4292" w:rsidRPr="004B5229" w:rsidRDefault="005A5809" w:rsidP="00246D2B">
      <w:pPr>
        <w:pStyle w:val="ListParagraph"/>
        <w:numPr>
          <w:ilvl w:val="0"/>
          <w:numId w:val="23"/>
        </w:numPr>
        <w:spacing w:after="0"/>
        <w:rPr>
          <w:rFonts w:eastAsia="Times New Roman" w:cstheme="minorHAnsi"/>
        </w:rPr>
      </w:pPr>
      <w:r w:rsidRPr="004B5229">
        <w:rPr>
          <w:rFonts w:eastAsia="Times New Roman" w:cstheme="minorHAnsi"/>
        </w:rPr>
        <w:t>E</w:t>
      </w:r>
      <w:r w:rsidR="001A7F66" w:rsidRPr="004B5229">
        <w:rPr>
          <w:rFonts w:eastAsia="Times New Roman" w:cstheme="minorHAnsi"/>
        </w:rPr>
        <w:t xml:space="preserve">xamples of an </w:t>
      </w:r>
      <w:r w:rsidR="000C4292" w:rsidRPr="004B5229">
        <w:rPr>
          <w:rFonts w:eastAsia="Times New Roman" w:cstheme="minorHAnsi"/>
        </w:rPr>
        <w:t>acceptable application include:</w:t>
      </w:r>
    </w:p>
    <w:p w14:paraId="29069449" w14:textId="34160AC5" w:rsidR="001A7F66" w:rsidRPr="004B5229" w:rsidRDefault="001A7F66" w:rsidP="00246D2B">
      <w:pPr>
        <w:pStyle w:val="ListParagraph"/>
        <w:numPr>
          <w:ilvl w:val="1"/>
          <w:numId w:val="23"/>
        </w:numPr>
        <w:spacing w:after="0"/>
        <w:rPr>
          <w:rFonts w:eastAsia="Times New Roman" w:cstheme="minorHAnsi"/>
        </w:rPr>
      </w:pPr>
      <w:r w:rsidRPr="004B5229">
        <w:rPr>
          <w:rFonts w:eastAsia="Times New Roman" w:cstheme="minorHAnsi"/>
        </w:rPr>
        <w:t>Project Type I</w:t>
      </w:r>
      <w:r w:rsidR="0036623C" w:rsidRPr="004B5229">
        <w:rPr>
          <w:rFonts w:eastAsia="Times New Roman" w:cstheme="minorHAnsi"/>
        </w:rPr>
        <w:t xml:space="preserve"> (</w:t>
      </w:r>
      <w:r w:rsidR="007022C4">
        <w:rPr>
          <w:rFonts w:eastAsia="Times New Roman" w:cstheme="minorHAnsi"/>
        </w:rPr>
        <w:t>acceptable</w:t>
      </w:r>
      <w:r w:rsidR="002B72CA" w:rsidRPr="004B5229">
        <w:rPr>
          <w:rFonts w:eastAsia="Times New Roman" w:cstheme="minorHAnsi"/>
        </w:rPr>
        <w:t xml:space="preserve"> if </w:t>
      </w:r>
      <w:r w:rsidR="0036623C" w:rsidRPr="004B5229">
        <w:rPr>
          <w:rFonts w:eastAsia="Times New Roman" w:cstheme="minorHAnsi"/>
        </w:rPr>
        <w:t>inventory</w:t>
      </w:r>
      <w:r w:rsidR="0036623C" w:rsidRPr="004B5229">
        <w:rPr>
          <w:rFonts w:eastAsia="Times New Roman" w:cstheme="minorHAnsi"/>
          <w:i/>
          <w:iCs/>
        </w:rPr>
        <w:t xml:space="preserve"> not yet</w:t>
      </w:r>
      <w:r w:rsidR="0036623C" w:rsidRPr="004B5229">
        <w:rPr>
          <w:rFonts w:eastAsia="Times New Roman" w:cstheme="minorHAnsi"/>
        </w:rPr>
        <w:t xml:space="preserve"> </w:t>
      </w:r>
      <w:r w:rsidR="00B97C77">
        <w:rPr>
          <w:rFonts w:eastAsia="Times New Roman" w:cstheme="minorHAnsi"/>
        </w:rPr>
        <w:t>upload</w:t>
      </w:r>
      <w:r w:rsidR="0036623C" w:rsidRPr="004B5229">
        <w:rPr>
          <w:rFonts w:eastAsia="Times New Roman" w:cstheme="minorHAnsi"/>
        </w:rPr>
        <w:t>ed</w:t>
      </w:r>
      <w:r w:rsidR="007022C4">
        <w:rPr>
          <w:rFonts w:eastAsia="Times New Roman" w:cstheme="minorHAnsi"/>
        </w:rPr>
        <w:t xml:space="preserve"> to PWS Portal</w:t>
      </w:r>
      <w:r w:rsidR="0036623C" w:rsidRPr="004B5229">
        <w:rPr>
          <w:rFonts w:eastAsia="Times New Roman" w:cstheme="minorHAnsi"/>
        </w:rPr>
        <w:t>)</w:t>
      </w:r>
    </w:p>
    <w:p w14:paraId="7466AFAE" w14:textId="3B0CADC5" w:rsidR="00F95229" w:rsidRPr="004B5229" w:rsidRDefault="00F95229" w:rsidP="00246D2B">
      <w:pPr>
        <w:pStyle w:val="ListParagraph"/>
        <w:numPr>
          <w:ilvl w:val="1"/>
          <w:numId w:val="23"/>
        </w:numPr>
        <w:spacing w:after="0"/>
        <w:rPr>
          <w:rFonts w:eastAsia="Times New Roman" w:cstheme="minorHAnsi"/>
        </w:rPr>
      </w:pPr>
      <w:r w:rsidRPr="004B5229">
        <w:rPr>
          <w:rFonts w:eastAsia="Times New Roman" w:cstheme="minorHAnsi"/>
        </w:rPr>
        <w:t>Project Type I (</w:t>
      </w:r>
      <w:r w:rsidR="007022C4">
        <w:rPr>
          <w:rFonts w:eastAsia="Times New Roman" w:cstheme="minorHAnsi"/>
        </w:rPr>
        <w:t>acceptable</w:t>
      </w:r>
      <w:r w:rsidR="002B72CA" w:rsidRPr="004B5229">
        <w:rPr>
          <w:rFonts w:eastAsia="Times New Roman" w:cstheme="minorHAnsi"/>
        </w:rPr>
        <w:t xml:space="preserve"> if </w:t>
      </w:r>
      <w:r w:rsidRPr="004B5229">
        <w:rPr>
          <w:rFonts w:eastAsia="Times New Roman" w:cstheme="minorHAnsi"/>
        </w:rPr>
        <w:t xml:space="preserve">inventory </w:t>
      </w:r>
      <w:r w:rsidR="00B97C77">
        <w:rPr>
          <w:rFonts w:eastAsia="Times New Roman" w:cstheme="minorHAnsi"/>
        </w:rPr>
        <w:t>uploaded</w:t>
      </w:r>
      <w:r w:rsidRPr="004B5229">
        <w:rPr>
          <w:rFonts w:eastAsia="Times New Roman" w:cstheme="minorHAnsi"/>
        </w:rPr>
        <w:t xml:space="preserve"> </w:t>
      </w:r>
      <w:r w:rsidR="007022C4">
        <w:rPr>
          <w:rFonts w:eastAsia="Times New Roman" w:cstheme="minorHAnsi"/>
        </w:rPr>
        <w:t xml:space="preserve">to PWS Portal </w:t>
      </w:r>
      <w:r w:rsidRPr="004B5229">
        <w:rPr>
          <w:rFonts w:eastAsia="Times New Roman" w:cstheme="minorHAnsi"/>
        </w:rPr>
        <w:t xml:space="preserve">but utility wants to do more work to reduce </w:t>
      </w:r>
      <w:r w:rsidR="007022C4">
        <w:rPr>
          <w:rFonts w:eastAsia="Times New Roman" w:cstheme="minorHAnsi"/>
        </w:rPr>
        <w:t>number</w:t>
      </w:r>
      <w:r w:rsidRPr="004B5229">
        <w:rPr>
          <w:rFonts w:eastAsia="Times New Roman" w:cstheme="minorHAnsi"/>
        </w:rPr>
        <w:t xml:space="preserve"> of unknowns, for instance)</w:t>
      </w:r>
    </w:p>
    <w:p w14:paraId="480F7BFC" w14:textId="3B461835" w:rsidR="002B72CA" w:rsidRPr="004B5229" w:rsidRDefault="002B72CA" w:rsidP="00246D2B">
      <w:pPr>
        <w:pStyle w:val="ListParagraph"/>
        <w:numPr>
          <w:ilvl w:val="1"/>
          <w:numId w:val="23"/>
        </w:numPr>
        <w:spacing w:after="0"/>
        <w:rPr>
          <w:rFonts w:eastAsia="Times New Roman" w:cstheme="minorHAnsi"/>
        </w:rPr>
      </w:pPr>
      <w:r w:rsidRPr="004B5229">
        <w:rPr>
          <w:rFonts w:eastAsia="Times New Roman" w:cstheme="minorHAnsi"/>
        </w:rPr>
        <w:t>Project Type I, Type II, and/or Type III (</w:t>
      </w:r>
      <w:r w:rsidR="007022C4">
        <w:rPr>
          <w:rFonts w:eastAsia="Times New Roman" w:cstheme="minorHAnsi"/>
        </w:rPr>
        <w:t>acceptable</w:t>
      </w:r>
      <w:r w:rsidRPr="004B5229">
        <w:rPr>
          <w:rFonts w:eastAsia="Times New Roman" w:cstheme="minorHAnsi"/>
        </w:rPr>
        <w:t xml:space="preserve"> if inventory </w:t>
      </w:r>
      <w:r w:rsidR="00B97C77">
        <w:rPr>
          <w:rFonts w:eastAsia="Times New Roman" w:cstheme="minorHAnsi"/>
        </w:rPr>
        <w:t>uploaded</w:t>
      </w:r>
      <w:r w:rsidRPr="004B5229">
        <w:rPr>
          <w:rFonts w:eastAsia="Times New Roman" w:cstheme="minorHAnsi"/>
        </w:rPr>
        <w:t>)</w:t>
      </w:r>
    </w:p>
    <w:p w14:paraId="7F37A04C" w14:textId="1490A8D2" w:rsidR="002B72CA" w:rsidRPr="004B5229" w:rsidRDefault="002B72CA" w:rsidP="00246D2B">
      <w:pPr>
        <w:pStyle w:val="ListParagraph"/>
        <w:numPr>
          <w:ilvl w:val="1"/>
          <w:numId w:val="23"/>
        </w:numPr>
        <w:spacing w:after="0"/>
        <w:rPr>
          <w:rFonts w:eastAsia="Times New Roman" w:cstheme="minorHAnsi"/>
        </w:rPr>
      </w:pPr>
      <w:r w:rsidRPr="004B5229">
        <w:rPr>
          <w:rFonts w:eastAsia="Times New Roman" w:cstheme="minorHAnsi"/>
        </w:rPr>
        <w:t>Project Type II and/or Type III (</w:t>
      </w:r>
      <w:r w:rsidR="007022C4">
        <w:rPr>
          <w:rFonts w:eastAsia="Times New Roman" w:cstheme="minorHAnsi"/>
        </w:rPr>
        <w:t>acceptable</w:t>
      </w:r>
      <w:r w:rsidRPr="004B5229">
        <w:rPr>
          <w:rFonts w:eastAsia="Times New Roman" w:cstheme="minorHAnsi"/>
        </w:rPr>
        <w:t xml:space="preserve"> if inventory </w:t>
      </w:r>
      <w:r w:rsidR="00B97C77">
        <w:rPr>
          <w:rFonts w:eastAsia="Times New Roman" w:cstheme="minorHAnsi"/>
        </w:rPr>
        <w:t>uploaded</w:t>
      </w:r>
      <w:r w:rsidRPr="004B5229">
        <w:rPr>
          <w:rFonts w:eastAsia="Times New Roman" w:cstheme="minorHAnsi"/>
        </w:rPr>
        <w:t>)</w:t>
      </w:r>
    </w:p>
    <w:p w14:paraId="47B5E7F7" w14:textId="298AA5CA" w:rsidR="000C4292" w:rsidRPr="00E07142" w:rsidRDefault="000C4292" w:rsidP="0036623C">
      <w:pPr>
        <w:pStyle w:val="ListParagraph"/>
        <w:ind w:left="2160"/>
        <w:rPr>
          <w:rFonts w:eastAsia="Times New Roman" w:cstheme="minorHAnsi"/>
        </w:rPr>
      </w:pPr>
    </w:p>
    <w:p w14:paraId="3FE44052" w14:textId="2CD84525" w:rsidR="00DD584F" w:rsidRDefault="00DD584F"/>
    <w:p w14:paraId="06169ED7" w14:textId="77777777" w:rsidR="001A7F66" w:rsidRDefault="001A7F66">
      <w:pPr>
        <w:rPr>
          <w:rFonts w:asciiTheme="majorHAnsi" w:eastAsiaTheme="majorEastAsia" w:hAnsiTheme="majorHAnsi" w:cstheme="majorBidi"/>
          <w:color w:val="2F5496" w:themeColor="accent1" w:themeShade="BF"/>
          <w:sz w:val="32"/>
          <w:szCs w:val="32"/>
        </w:rPr>
      </w:pPr>
      <w:r>
        <w:br w:type="page"/>
      </w:r>
    </w:p>
    <w:p w14:paraId="32844EA6" w14:textId="111EC5CF" w:rsidR="00DD584F" w:rsidRPr="005A4CDF" w:rsidRDefault="00DD584F" w:rsidP="00DD584F">
      <w:pPr>
        <w:pStyle w:val="Heading1"/>
      </w:pPr>
      <w:bookmarkStart w:id="15" w:name="_Section_3:_Available"/>
      <w:bookmarkEnd w:id="15"/>
      <w:r w:rsidRPr="005A4CDF">
        <w:lastRenderedPageBreak/>
        <w:t xml:space="preserve">Section </w:t>
      </w:r>
      <w:r>
        <w:t>3</w:t>
      </w:r>
      <w:r w:rsidRPr="005A4CDF">
        <w:t xml:space="preserve">: </w:t>
      </w:r>
      <w:r>
        <w:t xml:space="preserve">Available </w:t>
      </w:r>
      <w:r w:rsidRPr="005A4CDF">
        <w:t xml:space="preserve">Funding </w:t>
      </w:r>
    </w:p>
    <w:p w14:paraId="260FB629" w14:textId="27C0FA41" w:rsidR="00DD584F" w:rsidRDefault="00DD584F" w:rsidP="00E60F35">
      <w:pPr>
        <w:spacing w:after="0"/>
        <w:rPr>
          <w:rFonts w:asciiTheme="majorHAnsi" w:eastAsia="Times New Roman" w:hAnsiTheme="majorHAnsi" w:cstheme="majorBidi"/>
          <w:b/>
          <w:bCs/>
          <w:color w:val="1F3763" w:themeColor="accent1" w:themeShade="7F"/>
          <w:sz w:val="24"/>
          <w:szCs w:val="24"/>
        </w:rPr>
      </w:pPr>
    </w:p>
    <w:p w14:paraId="3B0EE8FE" w14:textId="12371636" w:rsidR="004E37AE" w:rsidRPr="00246D2B" w:rsidRDefault="004E37AE" w:rsidP="00246D2B">
      <w:pPr>
        <w:spacing w:after="0"/>
        <w:rPr>
          <w:highlight w:val="yellow"/>
        </w:rPr>
      </w:pPr>
      <w:r w:rsidRPr="00246D2B">
        <w:rPr>
          <w:rFonts w:cstheme="minorHAnsi"/>
          <w:highlight w:val="yellow"/>
        </w:rPr>
        <w:t xml:space="preserve">The IFA </w:t>
      </w:r>
      <w:r w:rsidR="007022C4">
        <w:rPr>
          <w:rFonts w:cstheme="minorHAnsi"/>
          <w:highlight w:val="yellow"/>
        </w:rPr>
        <w:t>established</w:t>
      </w:r>
      <w:r w:rsidRPr="00246D2B">
        <w:rPr>
          <w:rFonts w:cstheme="minorHAnsi"/>
          <w:highlight w:val="yellow"/>
        </w:rPr>
        <w:t xml:space="preserve"> the LSL Inventory Funding Program such that every eligible utility </w:t>
      </w:r>
      <w:r w:rsidR="007022C4">
        <w:rPr>
          <w:rFonts w:cstheme="minorHAnsi"/>
          <w:highlight w:val="yellow"/>
        </w:rPr>
        <w:t xml:space="preserve">applying </w:t>
      </w:r>
      <w:r w:rsidRPr="00246D2B">
        <w:rPr>
          <w:rFonts w:cstheme="minorHAnsi"/>
          <w:highlight w:val="yellow"/>
        </w:rPr>
        <w:t xml:space="preserve">for eligible work will be awarded </w:t>
      </w:r>
      <w:r w:rsidR="006816E6" w:rsidRPr="006816E6">
        <w:rPr>
          <w:rFonts w:cstheme="minorHAnsi"/>
          <w:highlight w:val="yellow"/>
          <w:u w:val="single"/>
        </w:rPr>
        <w:t>N</w:t>
      </w:r>
      <w:r w:rsidRPr="006816E6">
        <w:rPr>
          <w:rFonts w:cstheme="minorHAnsi"/>
          <w:highlight w:val="yellow"/>
          <w:u w:val="single"/>
        </w:rPr>
        <w:t xml:space="preserve">oncompetitive </w:t>
      </w:r>
      <w:r w:rsidR="006816E6" w:rsidRPr="006816E6">
        <w:rPr>
          <w:rFonts w:cstheme="minorHAnsi"/>
          <w:highlight w:val="yellow"/>
          <w:u w:val="single"/>
        </w:rPr>
        <w:t>F</w:t>
      </w:r>
      <w:r w:rsidRPr="006816E6">
        <w:rPr>
          <w:rFonts w:cstheme="minorHAnsi"/>
          <w:highlight w:val="yellow"/>
          <w:u w:val="single"/>
        </w:rPr>
        <w:t>unding</w:t>
      </w:r>
      <w:r w:rsidRPr="00246D2B">
        <w:rPr>
          <w:rFonts w:cstheme="minorHAnsi"/>
          <w:highlight w:val="yellow"/>
        </w:rPr>
        <w:t xml:space="preserve"> </w:t>
      </w:r>
      <w:r w:rsidR="006816E6" w:rsidRPr="00246D2B">
        <w:rPr>
          <w:rFonts w:cstheme="minorHAnsi"/>
          <w:highlight w:val="yellow"/>
        </w:rPr>
        <w:t>if</w:t>
      </w:r>
      <w:r w:rsidRPr="00246D2B">
        <w:rPr>
          <w:rFonts w:cstheme="minorHAnsi"/>
          <w:highlight w:val="yellow"/>
        </w:rPr>
        <w:t xml:space="preserve"> appropriate application materials are submitted. </w:t>
      </w:r>
      <w:r w:rsidR="00E60F35" w:rsidRPr="00246D2B">
        <w:rPr>
          <w:highlight w:val="yellow"/>
        </w:rPr>
        <w:t xml:space="preserve">The funds for the IFA </w:t>
      </w:r>
      <w:r w:rsidR="00A13152" w:rsidRPr="00246D2B">
        <w:rPr>
          <w:highlight w:val="yellow"/>
        </w:rPr>
        <w:t>LSL Inventory</w:t>
      </w:r>
      <w:r w:rsidR="00E60F35" w:rsidRPr="00246D2B">
        <w:rPr>
          <w:highlight w:val="yellow"/>
        </w:rPr>
        <w:t xml:space="preserve"> Funding Program will be distributed by Project Type (see Section</w:t>
      </w:r>
      <w:r w:rsidR="009909DA" w:rsidRPr="00246D2B">
        <w:rPr>
          <w:highlight w:val="yellow"/>
        </w:rPr>
        <w:t xml:space="preserve"> </w:t>
      </w:r>
      <w:r w:rsidR="00E60F35" w:rsidRPr="00246D2B">
        <w:rPr>
          <w:highlight w:val="yellow"/>
        </w:rPr>
        <w:t>2) and a utility’s number of service connections</w:t>
      </w:r>
      <w:r w:rsidR="007022C4">
        <w:rPr>
          <w:highlight w:val="yellow"/>
        </w:rPr>
        <w:t xml:space="preserve"> (s</w:t>
      </w:r>
      <w:r w:rsidR="008D073D" w:rsidRPr="00246D2B">
        <w:rPr>
          <w:highlight w:val="yellow"/>
        </w:rPr>
        <w:t xml:space="preserve">ee </w:t>
      </w:r>
      <w:r w:rsidR="00E60F35" w:rsidRPr="00246D2B">
        <w:rPr>
          <w:highlight w:val="yellow"/>
        </w:rPr>
        <w:t>Table 1</w:t>
      </w:r>
      <w:r w:rsidR="007022C4">
        <w:rPr>
          <w:highlight w:val="yellow"/>
        </w:rPr>
        <w:t>)</w:t>
      </w:r>
      <w:r w:rsidR="00E60F35" w:rsidRPr="00246D2B">
        <w:rPr>
          <w:highlight w:val="yellow"/>
        </w:rPr>
        <w:t xml:space="preserve">. </w:t>
      </w:r>
      <w:bookmarkStart w:id="16" w:name="_Hlk153984270"/>
      <w:r w:rsidR="003B7315" w:rsidRPr="00246D2B">
        <w:rPr>
          <w:highlight w:val="yellow"/>
        </w:rPr>
        <w:t xml:space="preserve">This means that </w:t>
      </w:r>
      <w:r w:rsidR="006816E6" w:rsidRPr="006816E6">
        <w:rPr>
          <w:rFonts w:cstheme="minorHAnsi"/>
          <w:highlight w:val="yellow"/>
          <w:u w:val="single"/>
        </w:rPr>
        <w:t>Noncompetitive Funding</w:t>
      </w:r>
      <w:r w:rsidR="006816E6" w:rsidRPr="00246D2B">
        <w:rPr>
          <w:rFonts w:cstheme="minorHAnsi"/>
          <w:highlight w:val="yellow"/>
        </w:rPr>
        <w:t xml:space="preserve"> </w:t>
      </w:r>
      <w:r w:rsidR="003B7315" w:rsidRPr="00246D2B">
        <w:rPr>
          <w:highlight w:val="yellow"/>
        </w:rPr>
        <w:t xml:space="preserve">can be used for validation (Type III) work. </w:t>
      </w:r>
    </w:p>
    <w:bookmarkEnd w:id="16"/>
    <w:p w14:paraId="048A45BA" w14:textId="77777777" w:rsidR="004E37AE" w:rsidRPr="00246D2B" w:rsidRDefault="004E37AE" w:rsidP="00246D2B">
      <w:pPr>
        <w:spacing w:after="0"/>
        <w:rPr>
          <w:highlight w:val="yellow"/>
        </w:rPr>
      </w:pPr>
    </w:p>
    <w:p w14:paraId="6D01AB3D" w14:textId="3C9B61D6" w:rsidR="004E37AE" w:rsidRDefault="00E60F35" w:rsidP="00246D2B">
      <w:pPr>
        <w:spacing w:after="0"/>
      </w:pPr>
      <w:r w:rsidRPr="00246D2B">
        <w:rPr>
          <w:highlight w:val="yellow"/>
        </w:rPr>
        <w:t>Please note</w:t>
      </w:r>
      <w:r w:rsidR="00124EA7" w:rsidRPr="00246D2B">
        <w:rPr>
          <w:highlight w:val="yellow"/>
        </w:rPr>
        <w:t>,</w:t>
      </w:r>
      <w:r w:rsidRPr="00246D2B">
        <w:rPr>
          <w:highlight w:val="yellow"/>
        </w:rPr>
        <w:t xml:space="preserve"> the funding levels in Table 1 are the maximum amount </w:t>
      </w:r>
      <w:r w:rsidR="00124EA7" w:rsidRPr="00246D2B">
        <w:rPr>
          <w:highlight w:val="yellow"/>
        </w:rPr>
        <w:t>a</w:t>
      </w:r>
      <w:r w:rsidRPr="00246D2B">
        <w:rPr>
          <w:highlight w:val="yellow"/>
        </w:rPr>
        <w:t xml:space="preserve"> utility can apply for </w:t>
      </w:r>
      <w:r w:rsidR="000B0C5E" w:rsidRPr="00246D2B">
        <w:rPr>
          <w:highlight w:val="yellow"/>
        </w:rPr>
        <w:t xml:space="preserve">in the IFA </w:t>
      </w:r>
      <w:r w:rsidR="00A13152" w:rsidRPr="00246D2B">
        <w:rPr>
          <w:highlight w:val="yellow"/>
        </w:rPr>
        <w:t>LSL Inventory</w:t>
      </w:r>
      <w:r w:rsidR="000B0C5E" w:rsidRPr="00246D2B">
        <w:rPr>
          <w:highlight w:val="yellow"/>
        </w:rPr>
        <w:t xml:space="preserve"> Funding Program </w:t>
      </w:r>
      <w:r w:rsidR="00124EA7" w:rsidRPr="00246D2B">
        <w:rPr>
          <w:highlight w:val="yellow"/>
        </w:rPr>
        <w:t xml:space="preserve">in aggregate for </w:t>
      </w:r>
      <w:r w:rsidR="000B0C5E" w:rsidRPr="00246D2B">
        <w:rPr>
          <w:highlight w:val="yellow"/>
        </w:rPr>
        <w:t>Round 1 and Round 2</w:t>
      </w:r>
      <w:r w:rsidRPr="00246D2B">
        <w:rPr>
          <w:highlight w:val="yellow"/>
        </w:rPr>
        <w:t xml:space="preserve">. </w:t>
      </w:r>
      <w:r w:rsidR="0077627C" w:rsidRPr="00246D2B">
        <w:rPr>
          <w:highlight w:val="yellow"/>
        </w:rPr>
        <w:t>Funding Round</w:t>
      </w:r>
      <w:r w:rsidR="004E37AE" w:rsidRPr="00246D2B">
        <w:rPr>
          <w:highlight w:val="yellow"/>
        </w:rPr>
        <w:t xml:space="preserve"> </w:t>
      </w:r>
      <w:r w:rsidR="0077627C" w:rsidRPr="00246D2B">
        <w:rPr>
          <w:highlight w:val="yellow"/>
        </w:rPr>
        <w:t xml:space="preserve">Deadlines </w:t>
      </w:r>
      <w:r w:rsidRPr="00246D2B">
        <w:rPr>
          <w:highlight w:val="yellow"/>
        </w:rPr>
        <w:t>are</w:t>
      </w:r>
      <w:r w:rsidR="0077627C" w:rsidRPr="00246D2B">
        <w:rPr>
          <w:highlight w:val="yellow"/>
        </w:rPr>
        <w:t xml:space="preserve"> discuss</w:t>
      </w:r>
      <w:r w:rsidR="00DA7857">
        <w:rPr>
          <w:highlight w:val="yellow"/>
        </w:rPr>
        <w:t>ed</w:t>
      </w:r>
      <w:r w:rsidR="0077627C" w:rsidRPr="00246D2B">
        <w:rPr>
          <w:highlight w:val="yellow"/>
        </w:rPr>
        <w:t xml:space="preserve"> in Section </w:t>
      </w:r>
      <w:r w:rsidR="004E37AE" w:rsidRPr="00246D2B">
        <w:rPr>
          <w:highlight w:val="yellow"/>
        </w:rPr>
        <w:t>7</w:t>
      </w:r>
      <w:r w:rsidR="004E37AE" w:rsidRPr="00246D2B">
        <w:rPr>
          <w:rFonts w:eastAsia="Times New Roman" w:cstheme="minorHAnsi"/>
          <w:color w:val="0A0A0A"/>
          <w:highlight w:val="yellow"/>
        </w:rPr>
        <w:t xml:space="preserve">. </w:t>
      </w:r>
      <w:r w:rsidR="004E37AE" w:rsidRPr="00246D2B">
        <w:rPr>
          <w:highlight w:val="yellow"/>
        </w:rPr>
        <w:t>A third round is currently not anticipated.</w:t>
      </w:r>
      <w:r w:rsidR="004E37AE">
        <w:t xml:space="preserve"> </w:t>
      </w:r>
    </w:p>
    <w:p w14:paraId="28E60016" w14:textId="77777777" w:rsidR="00A3592F" w:rsidRDefault="00A3592F" w:rsidP="00246D2B">
      <w:pPr>
        <w:spacing w:after="0"/>
      </w:pPr>
    </w:p>
    <w:p w14:paraId="648B44AB" w14:textId="77777777" w:rsidR="007022C4" w:rsidRDefault="007022C4" w:rsidP="00246D2B">
      <w:pPr>
        <w:spacing w:after="0"/>
      </w:pPr>
    </w:p>
    <w:p w14:paraId="2F2F0B33" w14:textId="77777777" w:rsidR="007022C4" w:rsidRDefault="007022C4" w:rsidP="00246D2B">
      <w:pPr>
        <w:spacing w:after="0"/>
      </w:pPr>
    </w:p>
    <w:p w14:paraId="43CC1C5C" w14:textId="43D3058D" w:rsidR="00DD584F" w:rsidRPr="007022C4" w:rsidRDefault="00DD584F" w:rsidP="00DD584F">
      <w:pPr>
        <w:pStyle w:val="Heading3"/>
        <w:rPr>
          <w:rFonts w:eastAsia="Times New Roman"/>
          <w:sz w:val="22"/>
          <w:szCs w:val="22"/>
        </w:rPr>
      </w:pPr>
      <w:bookmarkStart w:id="17" w:name="_Table_1._Funding_1"/>
      <w:bookmarkStart w:id="18" w:name="_Table_1._Maximum"/>
      <w:bookmarkEnd w:id="17"/>
      <w:bookmarkEnd w:id="18"/>
      <w:r w:rsidRPr="007022C4">
        <w:rPr>
          <w:rFonts w:eastAsia="Times New Roman"/>
          <w:b/>
          <w:bCs/>
          <w:sz w:val="22"/>
          <w:szCs w:val="22"/>
          <w:highlight w:val="yellow"/>
        </w:rPr>
        <w:t xml:space="preserve">Table 1. </w:t>
      </w:r>
      <w:bookmarkStart w:id="19" w:name="_Hlk129195040"/>
      <w:r w:rsidR="00492C15" w:rsidRPr="007022C4">
        <w:rPr>
          <w:rFonts w:eastAsia="Times New Roman"/>
          <w:sz w:val="22"/>
          <w:szCs w:val="22"/>
          <w:highlight w:val="yellow"/>
        </w:rPr>
        <w:t>Maximum amount of fund</w:t>
      </w:r>
      <w:r w:rsidR="00C449FF" w:rsidRPr="007022C4">
        <w:rPr>
          <w:rFonts w:eastAsia="Times New Roman"/>
          <w:sz w:val="22"/>
          <w:szCs w:val="22"/>
          <w:highlight w:val="yellow"/>
        </w:rPr>
        <w:t>s</w:t>
      </w:r>
      <w:r w:rsidR="00492C15" w:rsidRPr="007022C4">
        <w:rPr>
          <w:rFonts w:eastAsia="Times New Roman"/>
          <w:sz w:val="22"/>
          <w:szCs w:val="22"/>
          <w:highlight w:val="yellow"/>
        </w:rPr>
        <w:t xml:space="preserve"> available for Round 1 and 2 </w:t>
      </w:r>
      <w:r w:rsidRPr="007022C4">
        <w:rPr>
          <w:rFonts w:eastAsia="Times New Roman"/>
          <w:sz w:val="22"/>
          <w:szCs w:val="22"/>
          <w:highlight w:val="yellow"/>
        </w:rPr>
        <w:t xml:space="preserve">by </w:t>
      </w:r>
      <w:r w:rsidR="00484226" w:rsidRPr="007022C4">
        <w:rPr>
          <w:rFonts w:eastAsia="Times New Roman"/>
          <w:sz w:val="22"/>
          <w:szCs w:val="22"/>
          <w:highlight w:val="yellow"/>
        </w:rPr>
        <w:t xml:space="preserve">utility size, </w:t>
      </w:r>
      <w:r w:rsidR="00BC354E" w:rsidRPr="007022C4">
        <w:rPr>
          <w:rFonts w:eastAsia="Times New Roman"/>
          <w:sz w:val="22"/>
          <w:szCs w:val="22"/>
          <w:highlight w:val="yellow"/>
        </w:rPr>
        <w:t>funding (</w:t>
      </w:r>
      <w:r w:rsidR="006816E6" w:rsidRPr="007022C4">
        <w:rPr>
          <w:rFonts w:eastAsia="Times New Roman"/>
          <w:sz w:val="22"/>
          <w:szCs w:val="22"/>
          <w:highlight w:val="yellow"/>
        </w:rPr>
        <w:t>N</w:t>
      </w:r>
      <w:r w:rsidR="00BC354E" w:rsidRPr="007022C4">
        <w:rPr>
          <w:rFonts w:eastAsia="Times New Roman"/>
          <w:sz w:val="22"/>
          <w:szCs w:val="22"/>
          <w:highlight w:val="yellow"/>
        </w:rPr>
        <w:t xml:space="preserve">oncompetitive vs. </w:t>
      </w:r>
      <w:r w:rsidR="006816E6" w:rsidRPr="007022C4">
        <w:rPr>
          <w:rFonts w:eastAsia="Times New Roman"/>
          <w:sz w:val="22"/>
          <w:szCs w:val="22"/>
          <w:highlight w:val="yellow"/>
        </w:rPr>
        <w:t>C</w:t>
      </w:r>
      <w:r w:rsidR="00BC354E" w:rsidRPr="007022C4">
        <w:rPr>
          <w:rFonts w:eastAsia="Times New Roman"/>
          <w:sz w:val="22"/>
          <w:szCs w:val="22"/>
          <w:highlight w:val="yellow"/>
        </w:rPr>
        <w:t>ompetitive)</w:t>
      </w:r>
      <w:r w:rsidRPr="007022C4">
        <w:rPr>
          <w:rFonts w:eastAsia="Times New Roman"/>
          <w:sz w:val="22"/>
          <w:szCs w:val="22"/>
          <w:highlight w:val="yellow"/>
        </w:rPr>
        <w:t xml:space="preserve"> and project type.</w:t>
      </w:r>
      <w:bookmarkEnd w:id="19"/>
    </w:p>
    <w:tbl>
      <w:tblPr>
        <w:tblW w:w="5000" w:type="pct"/>
        <w:tblCellMar>
          <w:left w:w="0" w:type="dxa"/>
          <w:right w:w="0" w:type="dxa"/>
        </w:tblCellMar>
        <w:tblLook w:val="04A0" w:firstRow="1" w:lastRow="0" w:firstColumn="1" w:lastColumn="0" w:noHBand="0" w:noVBand="1"/>
      </w:tblPr>
      <w:tblGrid>
        <w:gridCol w:w="1520"/>
        <w:gridCol w:w="1805"/>
        <w:gridCol w:w="958"/>
        <w:gridCol w:w="958"/>
        <w:gridCol w:w="958"/>
        <w:gridCol w:w="3861"/>
      </w:tblGrid>
      <w:tr w:rsidR="00BC354E" w14:paraId="03A5757E" w14:textId="77777777" w:rsidTr="00C60316">
        <w:trPr>
          <w:trHeight w:val="695"/>
        </w:trPr>
        <w:tc>
          <w:tcPr>
            <w:tcW w:w="755" w:type="pct"/>
            <w:vMerge w:val="restart"/>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center"/>
            <w:hideMark/>
          </w:tcPr>
          <w:p w14:paraId="19C84FA1" w14:textId="77777777" w:rsidR="00BC354E" w:rsidRPr="00A56B8B" w:rsidRDefault="00BC354E" w:rsidP="00F44711">
            <w:pPr>
              <w:jc w:val="center"/>
              <w:rPr>
                <w:b/>
                <w:bCs/>
                <w:sz w:val="24"/>
                <w:szCs w:val="24"/>
              </w:rPr>
            </w:pPr>
            <w:r w:rsidRPr="00A56B8B">
              <w:rPr>
                <w:b/>
                <w:bCs/>
                <w:color w:val="000000"/>
                <w:sz w:val="24"/>
                <w:szCs w:val="24"/>
              </w:rPr>
              <w:t>IFA Water System Type</w:t>
            </w:r>
          </w:p>
        </w:tc>
        <w:tc>
          <w:tcPr>
            <w:tcW w:w="897" w:type="pct"/>
            <w:vMerge w:val="restart"/>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34A3817F" w14:textId="77777777" w:rsidR="00BC354E" w:rsidRPr="00A56B8B" w:rsidRDefault="00BC354E" w:rsidP="00F44711">
            <w:pPr>
              <w:jc w:val="center"/>
              <w:rPr>
                <w:b/>
                <w:bCs/>
                <w:sz w:val="24"/>
                <w:szCs w:val="24"/>
              </w:rPr>
            </w:pPr>
            <w:r w:rsidRPr="00A56B8B">
              <w:rPr>
                <w:b/>
                <w:bCs/>
                <w:color w:val="000000"/>
                <w:sz w:val="24"/>
                <w:szCs w:val="24"/>
              </w:rPr>
              <w:t>Number of Service Lines</w:t>
            </w:r>
          </w:p>
        </w:tc>
        <w:tc>
          <w:tcPr>
            <w:tcW w:w="1428" w:type="pct"/>
            <w:gridSpan w:val="3"/>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7FABACD7" w14:textId="69CE1EAE" w:rsidR="00BC354E" w:rsidRPr="00A56B8B" w:rsidRDefault="00BC354E" w:rsidP="00F44711">
            <w:pPr>
              <w:jc w:val="center"/>
              <w:rPr>
                <w:b/>
                <w:bCs/>
                <w:sz w:val="24"/>
                <w:szCs w:val="24"/>
              </w:rPr>
            </w:pPr>
            <w:r w:rsidRPr="00A56B8B">
              <w:rPr>
                <w:b/>
                <w:bCs/>
                <w:color w:val="000000"/>
                <w:sz w:val="24"/>
                <w:szCs w:val="24"/>
                <w:u w:val="single"/>
              </w:rPr>
              <w:t>Noncompetitive</w:t>
            </w:r>
            <w:r w:rsidRPr="00A56B8B">
              <w:rPr>
                <w:b/>
                <w:bCs/>
                <w:color w:val="000000"/>
                <w:sz w:val="24"/>
                <w:szCs w:val="24"/>
              </w:rPr>
              <w:t xml:space="preserve"> Funds </w:t>
            </w:r>
          </w:p>
        </w:tc>
        <w:tc>
          <w:tcPr>
            <w:tcW w:w="1919" w:type="pct"/>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7812ADC9" w14:textId="366DC684" w:rsidR="00BC354E" w:rsidRPr="00A56B8B" w:rsidRDefault="00BC354E" w:rsidP="00F44711">
            <w:pPr>
              <w:jc w:val="center"/>
              <w:rPr>
                <w:b/>
                <w:bCs/>
                <w:sz w:val="24"/>
                <w:szCs w:val="24"/>
              </w:rPr>
            </w:pPr>
            <w:r w:rsidRPr="00D81B32">
              <w:rPr>
                <w:b/>
                <w:bCs/>
                <w:color w:val="000000"/>
                <w:sz w:val="24"/>
                <w:szCs w:val="24"/>
                <w:u w:val="single"/>
              </w:rPr>
              <w:t>Competitive</w:t>
            </w:r>
            <w:r w:rsidR="006816E6">
              <w:rPr>
                <w:b/>
                <w:bCs/>
                <w:color w:val="000000"/>
                <w:sz w:val="24"/>
                <w:szCs w:val="24"/>
                <w:u w:val="single"/>
              </w:rPr>
              <w:t xml:space="preserve"> </w:t>
            </w:r>
            <w:r w:rsidRPr="00A56B8B">
              <w:rPr>
                <w:b/>
                <w:bCs/>
                <w:color w:val="000000"/>
                <w:sz w:val="24"/>
                <w:szCs w:val="24"/>
              </w:rPr>
              <w:t>Funds</w:t>
            </w:r>
          </w:p>
          <w:p w14:paraId="7FA1F79E" w14:textId="77777777" w:rsidR="00BC354E" w:rsidRPr="00A56B8B" w:rsidRDefault="00BC354E" w:rsidP="00F44711">
            <w:pPr>
              <w:jc w:val="center"/>
              <w:rPr>
                <w:i/>
                <w:iCs/>
                <w:sz w:val="24"/>
                <w:szCs w:val="24"/>
              </w:rPr>
            </w:pPr>
          </w:p>
        </w:tc>
      </w:tr>
      <w:tr w:rsidR="00BC354E" w14:paraId="22F9F5BA" w14:textId="77777777" w:rsidTr="00C60316">
        <w:trPr>
          <w:trHeight w:val="497"/>
        </w:trPr>
        <w:tc>
          <w:tcPr>
            <w:tcW w:w="755" w:type="pct"/>
            <w:vMerge/>
            <w:tcBorders>
              <w:top w:val="single" w:sz="8" w:space="0" w:color="auto"/>
              <w:left w:val="single" w:sz="8" w:space="0" w:color="auto"/>
              <w:bottom w:val="single" w:sz="8" w:space="0" w:color="auto"/>
              <w:right w:val="single" w:sz="8" w:space="0" w:color="auto"/>
            </w:tcBorders>
            <w:vAlign w:val="center"/>
            <w:hideMark/>
          </w:tcPr>
          <w:p w14:paraId="7D991772" w14:textId="77777777" w:rsidR="00BC354E" w:rsidRPr="00A56B8B" w:rsidRDefault="00BC354E" w:rsidP="00F44711">
            <w:pPr>
              <w:rPr>
                <w:rFonts w:ascii="Calibri" w:hAnsi="Calibri" w:cs="Calibri"/>
                <w:b/>
                <w:bCs/>
                <w:sz w:val="24"/>
                <w:szCs w:val="24"/>
                <w14:ligatures w14:val="standardContextual"/>
              </w:rPr>
            </w:pPr>
          </w:p>
        </w:tc>
        <w:tc>
          <w:tcPr>
            <w:tcW w:w="897" w:type="pct"/>
            <w:vMerge/>
            <w:tcBorders>
              <w:top w:val="single" w:sz="8" w:space="0" w:color="auto"/>
              <w:left w:val="nil"/>
              <w:bottom w:val="single" w:sz="8" w:space="0" w:color="auto"/>
              <w:right w:val="single" w:sz="8" w:space="0" w:color="auto"/>
            </w:tcBorders>
            <w:vAlign w:val="center"/>
            <w:hideMark/>
          </w:tcPr>
          <w:p w14:paraId="752564DA" w14:textId="77777777" w:rsidR="00BC354E" w:rsidRPr="00A56B8B" w:rsidRDefault="00BC354E" w:rsidP="00F44711">
            <w:pPr>
              <w:rPr>
                <w:rFonts w:ascii="Calibri" w:hAnsi="Calibri" w:cs="Calibri"/>
                <w:b/>
                <w:bCs/>
                <w:sz w:val="24"/>
                <w:szCs w:val="24"/>
                <w14:ligatures w14:val="standardContextual"/>
              </w:rPr>
            </w:pPr>
          </w:p>
        </w:tc>
        <w:tc>
          <w:tcPr>
            <w:tcW w:w="476"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369AE386" w14:textId="7F2F3FEE" w:rsidR="00BC354E" w:rsidRPr="00A56B8B" w:rsidRDefault="00BC354E" w:rsidP="00F44711">
            <w:pPr>
              <w:jc w:val="center"/>
              <w:rPr>
                <w:b/>
                <w:bCs/>
                <w:sz w:val="24"/>
                <w:szCs w:val="24"/>
              </w:rPr>
            </w:pPr>
            <w:r w:rsidRPr="00A56B8B">
              <w:rPr>
                <w:b/>
                <w:bCs/>
                <w:color w:val="000000"/>
                <w:sz w:val="24"/>
                <w:szCs w:val="24"/>
              </w:rPr>
              <w:t xml:space="preserve">Type I </w:t>
            </w:r>
          </w:p>
        </w:tc>
        <w:tc>
          <w:tcPr>
            <w:tcW w:w="476"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6F176DE8" w14:textId="23B1DD1F" w:rsidR="00BC354E" w:rsidRPr="00A56B8B" w:rsidRDefault="00BC354E" w:rsidP="00F44711">
            <w:pPr>
              <w:jc w:val="center"/>
              <w:rPr>
                <w:b/>
                <w:bCs/>
                <w:sz w:val="24"/>
                <w:szCs w:val="24"/>
              </w:rPr>
            </w:pPr>
            <w:r w:rsidRPr="00A56B8B">
              <w:rPr>
                <w:b/>
                <w:bCs/>
                <w:color w:val="000000"/>
                <w:sz w:val="24"/>
                <w:szCs w:val="24"/>
              </w:rPr>
              <w:t>Type II</w:t>
            </w:r>
          </w:p>
        </w:tc>
        <w:tc>
          <w:tcPr>
            <w:tcW w:w="476"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70E06280" w14:textId="7569ACFC" w:rsidR="00BC354E" w:rsidRPr="00A56B8B" w:rsidRDefault="00BC354E" w:rsidP="00F44711">
            <w:pPr>
              <w:jc w:val="center"/>
              <w:rPr>
                <w:b/>
                <w:bCs/>
                <w:sz w:val="24"/>
                <w:szCs w:val="24"/>
              </w:rPr>
            </w:pPr>
            <w:r w:rsidRPr="00A56B8B">
              <w:rPr>
                <w:b/>
                <w:bCs/>
                <w:color w:val="000000"/>
                <w:sz w:val="24"/>
                <w:szCs w:val="24"/>
              </w:rPr>
              <w:t>Type III</w:t>
            </w:r>
          </w:p>
        </w:tc>
        <w:tc>
          <w:tcPr>
            <w:tcW w:w="1919"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6B2FC734" w14:textId="23535CDA" w:rsidR="00BC354E" w:rsidRPr="00A56B8B" w:rsidRDefault="00BC354E" w:rsidP="00F44711">
            <w:pPr>
              <w:jc w:val="center"/>
              <w:rPr>
                <w:b/>
                <w:bCs/>
                <w:sz w:val="24"/>
                <w:szCs w:val="24"/>
              </w:rPr>
            </w:pPr>
            <w:r w:rsidRPr="00A56B8B">
              <w:rPr>
                <w:b/>
                <w:bCs/>
                <w:color w:val="000000"/>
                <w:sz w:val="24"/>
                <w:szCs w:val="24"/>
              </w:rPr>
              <w:t>Type III</w:t>
            </w:r>
          </w:p>
        </w:tc>
      </w:tr>
      <w:tr w:rsidR="00BC354E" w14:paraId="5D7BF902" w14:textId="77777777" w:rsidTr="00C60316">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6A54A055" w14:textId="77777777" w:rsidR="00BC354E" w:rsidRPr="00A3592F" w:rsidRDefault="00BC354E" w:rsidP="00F44711">
            <w:pPr>
              <w:jc w:val="center"/>
              <w:rPr>
                <w:sz w:val="24"/>
                <w:szCs w:val="24"/>
                <w:highlight w:val="yellow"/>
              </w:rPr>
            </w:pPr>
            <w:r w:rsidRPr="00A3592F">
              <w:rPr>
                <w:color w:val="000000"/>
                <w:sz w:val="24"/>
                <w:szCs w:val="24"/>
                <w:highlight w:val="yellow"/>
              </w:rPr>
              <w:t>CWS 0</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4B97CCD2" w14:textId="77777777" w:rsidR="00BC354E" w:rsidRPr="00A3592F" w:rsidRDefault="00BC354E" w:rsidP="00F44711">
            <w:pPr>
              <w:jc w:val="center"/>
              <w:rPr>
                <w:sz w:val="24"/>
                <w:szCs w:val="24"/>
                <w:highlight w:val="yellow"/>
              </w:rPr>
            </w:pPr>
            <w:r w:rsidRPr="00A3592F">
              <w:rPr>
                <w:color w:val="000000"/>
                <w:sz w:val="24"/>
                <w:szCs w:val="24"/>
                <w:highlight w:val="yellow"/>
              </w:rPr>
              <w:t>700-1000</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19997C5E" w14:textId="77777777" w:rsidR="00BC354E" w:rsidRPr="00A3592F" w:rsidRDefault="00BC354E" w:rsidP="00F44711">
            <w:pPr>
              <w:jc w:val="center"/>
              <w:rPr>
                <w:sz w:val="24"/>
                <w:szCs w:val="24"/>
                <w:highlight w:val="yellow"/>
              </w:rPr>
            </w:pPr>
            <w:r w:rsidRPr="00A3592F">
              <w:rPr>
                <w:color w:val="000000"/>
                <w:sz w:val="24"/>
                <w:szCs w:val="24"/>
                <w:highlight w:val="yellow"/>
              </w:rPr>
              <w:t>$15,000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3044E117" w14:textId="754D5F1E" w:rsidR="00BC354E" w:rsidRPr="00A3592F" w:rsidRDefault="00BC354E" w:rsidP="00F44711">
            <w:pPr>
              <w:jc w:val="center"/>
              <w:rPr>
                <w:sz w:val="24"/>
                <w:szCs w:val="24"/>
                <w:highlight w:val="yellow"/>
              </w:rPr>
            </w:pPr>
            <w:r w:rsidRPr="00A3592F">
              <w:rPr>
                <w:color w:val="000000"/>
                <w:sz w:val="24"/>
                <w:szCs w:val="24"/>
                <w:highlight w:val="yellow"/>
              </w:rPr>
              <w:t>N/A; available from the Alliance</w:t>
            </w:r>
            <w:r w:rsidR="009C6944">
              <w:rPr>
                <w:rStyle w:val="FootnoteReference"/>
                <w:color w:val="000000"/>
                <w:sz w:val="24"/>
                <w:szCs w:val="24"/>
                <w:highlight w:val="yellow"/>
              </w:rPr>
              <w:footnoteReference w:id="1"/>
            </w:r>
          </w:p>
        </w:tc>
      </w:tr>
      <w:tr w:rsidR="00BC354E" w14:paraId="49EB2665" w14:textId="77777777" w:rsidTr="00C60316">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780CB0C4" w14:textId="77777777" w:rsidR="00BC354E" w:rsidRPr="00A56B8B" w:rsidRDefault="00BC354E" w:rsidP="00F44711">
            <w:pPr>
              <w:jc w:val="center"/>
              <w:rPr>
                <w:sz w:val="24"/>
                <w:szCs w:val="24"/>
              </w:rPr>
            </w:pPr>
            <w:r w:rsidRPr="00A56B8B">
              <w:rPr>
                <w:color w:val="000000"/>
                <w:sz w:val="24"/>
                <w:szCs w:val="24"/>
              </w:rPr>
              <w:t>CWS 1</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19E656C0" w14:textId="77777777" w:rsidR="00BC354E" w:rsidRPr="00A56B8B" w:rsidRDefault="00BC354E" w:rsidP="00F44711">
            <w:pPr>
              <w:jc w:val="center"/>
              <w:rPr>
                <w:sz w:val="24"/>
                <w:szCs w:val="24"/>
              </w:rPr>
            </w:pPr>
            <w:r w:rsidRPr="00A56B8B">
              <w:rPr>
                <w:color w:val="000000"/>
                <w:sz w:val="24"/>
                <w:szCs w:val="24"/>
              </w:rPr>
              <w:t>1001-5000</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349ACDDB" w14:textId="77777777" w:rsidR="00BC354E" w:rsidRPr="00A56B8B" w:rsidRDefault="00BC354E" w:rsidP="00F44711">
            <w:pPr>
              <w:jc w:val="center"/>
              <w:rPr>
                <w:sz w:val="24"/>
                <w:szCs w:val="24"/>
              </w:rPr>
            </w:pPr>
            <w:r w:rsidRPr="00A56B8B">
              <w:rPr>
                <w:color w:val="000000"/>
                <w:sz w:val="24"/>
                <w:szCs w:val="24"/>
              </w:rPr>
              <w:t>$25,000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31D816B0" w14:textId="77777777" w:rsidR="00BC354E" w:rsidRPr="00A56B8B" w:rsidRDefault="00BC354E" w:rsidP="00F44711">
            <w:pPr>
              <w:jc w:val="center"/>
              <w:rPr>
                <w:sz w:val="24"/>
                <w:szCs w:val="24"/>
              </w:rPr>
            </w:pPr>
            <w:r w:rsidRPr="00A56B8B">
              <w:rPr>
                <w:color w:val="000000"/>
                <w:sz w:val="24"/>
                <w:szCs w:val="24"/>
              </w:rPr>
              <w:t>$100,000</w:t>
            </w:r>
          </w:p>
        </w:tc>
      </w:tr>
      <w:tr w:rsidR="00BC354E" w14:paraId="5CAA19F0" w14:textId="77777777" w:rsidTr="00C60316">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D2CBCF8" w14:textId="77777777" w:rsidR="00BC354E" w:rsidRPr="00A56B8B" w:rsidRDefault="00BC354E" w:rsidP="00F44711">
            <w:pPr>
              <w:jc w:val="center"/>
              <w:rPr>
                <w:sz w:val="24"/>
                <w:szCs w:val="24"/>
              </w:rPr>
            </w:pPr>
            <w:r w:rsidRPr="00A56B8B">
              <w:rPr>
                <w:color w:val="000000"/>
                <w:sz w:val="24"/>
                <w:szCs w:val="24"/>
              </w:rPr>
              <w:t>CWS 2</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185A4C7D" w14:textId="77777777" w:rsidR="00BC354E" w:rsidRPr="00A56B8B" w:rsidRDefault="00BC354E" w:rsidP="00F44711">
            <w:pPr>
              <w:jc w:val="center"/>
              <w:rPr>
                <w:sz w:val="24"/>
                <w:szCs w:val="24"/>
              </w:rPr>
            </w:pPr>
            <w:r w:rsidRPr="00A56B8B">
              <w:rPr>
                <w:color w:val="000000"/>
                <w:sz w:val="24"/>
                <w:szCs w:val="24"/>
              </w:rPr>
              <w:t>5001-10000</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B351B72" w14:textId="77777777" w:rsidR="00BC354E" w:rsidRPr="00A56B8B" w:rsidRDefault="00BC354E" w:rsidP="00F44711">
            <w:pPr>
              <w:jc w:val="center"/>
              <w:rPr>
                <w:sz w:val="24"/>
                <w:szCs w:val="24"/>
              </w:rPr>
            </w:pPr>
            <w:r w:rsidRPr="00A56B8B">
              <w:rPr>
                <w:color w:val="000000"/>
                <w:sz w:val="24"/>
                <w:szCs w:val="24"/>
              </w:rPr>
              <w:t>$35,000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1F6ABB8F" w14:textId="77777777" w:rsidR="00BC354E" w:rsidRPr="00A56B8B" w:rsidRDefault="00BC354E" w:rsidP="00F44711">
            <w:pPr>
              <w:jc w:val="center"/>
              <w:rPr>
                <w:sz w:val="24"/>
                <w:szCs w:val="24"/>
              </w:rPr>
            </w:pPr>
            <w:r w:rsidRPr="00A56B8B">
              <w:rPr>
                <w:color w:val="000000"/>
                <w:sz w:val="24"/>
                <w:szCs w:val="24"/>
              </w:rPr>
              <w:t>$200,000</w:t>
            </w:r>
          </w:p>
        </w:tc>
      </w:tr>
      <w:tr w:rsidR="00BC354E" w14:paraId="4CAE6708" w14:textId="77777777" w:rsidTr="00C60316">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04B206D9" w14:textId="77777777" w:rsidR="00BC354E" w:rsidRPr="00A56B8B" w:rsidRDefault="00BC354E" w:rsidP="00F44711">
            <w:pPr>
              <w:jc w:val="center"/>
              <w:rPr>
                <w:sz w:val="24"/>
                <w:szCs w:val="24"/>
              </w:rPr>
            </w:pPr>
            <w:r w:rsidRPr="00A56B8B">
              <w:rPr>
                <w:color w:val="000000"/>
                <w:sz w:val="24"/>
                <w:szCs w:val="24"/>
              </w:rPr>
              <w:t>CWS 3</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3CBD7392" w14:textId="77777777" w:rsidR="00BC354E" w:rsidRPr="00A56B8B" w:rsidRDefault="00BC354E" w:rsidP="00F44711">
            <w:pPr>
              <w:jc w:val="center"/>
              <w:rPr>
                <w:sz w:val="24"/>
                <w:szCs w:val="24"/>
              </w:rPr>
            </w:pPr>
            <w:r w:rsidRPr="00A56B8B">
              <w:rPr>
                <w:color w:val="000000"/>
                <w:sz w:val="24"/>
                <w:szCs w:val="24"/>
              </w:rPr>
              <w:t>10001-15000</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4B077F7B" w14:textId="77777777" w:rsidR="00BC354E" w:rsidRPr="00A56B8B" w:rsidRDefault="00BC354E" w:rsidP="00F44711">
            <w:pPr>
              <w:jc w:val="center"/>
              <w:rPr>
                <w:sz w:val="24"/>
                <w:szCs w:val="24"/>
              </w:rPr>
            </w:pPr>
            <w:r w:rsidRPr="00A56B8B">
              <w:rPr>
                <w:color w:val="000000"/>
                <w:sz w:val="24"/>
                <w:szCs w:val="24"/>
              </w:rPr>
              <w:t>$45,000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79B26A8C" w14:textId="77777777" w:rsidR="00BC354E" w:rsidRPr="00A56B8B" w:rsidRDefault="00BC354E" w:rsidP="00F44711">
            <w:pPr>
              <w:jc w:val="center"/>
              <w:rPr>
                <w:sz w:val="24"/>
                <w:szCs w:val="24"/>
              </w:rPr>
            </w:pPr>
            <w:r w:rsidRPr="00A56B8B">
              <w:rPr>
                <w:color w:val="000000"/>
                <w:sz w:val="24"/>
                <w:szCs w:val="24"/>
              </w:rPr>
              <w:t>$300,000</w:t>
            </w:r>
          </w:p>
        </w:tc>
      </w:tr>
      <w:tr w:rsidR="00BC354E" w14:paraId="70CD7DB1" w14:textId="77777777" w:rsidTr="00C60316">
        <w:trPr>
          <w:trHeight w:val="301"/>
        </w:trPr>
        <w:tc>
          <w:tcPr>
            <w:tcW w:w="755"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9B38694" w14:textId="77777777" w:rsidR="00BC354E" w:rsidRPr="00A56B8B" w:rsidRDefault="00BC354E" w:rsidP="00F44711">
            <w:pPr>
              <w:jc w:val="center"/>
              <w:rPr>
                <w:sz w:val="24"/>
                <w:szCs w:val="24"/>
              </w:rPr>
            </w:pPr>
            <w:r w:rsidRPr="00A56B8B">
              <w:rPr>
                <w:color w:val="000000"/>
                <w:sz w:val="24"/>
                <w:szCs w:val="24"/>
              </w:rPr>
              <w:t>CWS 4</w:t>
            </w:r>
          </w:p>
        </w:tc>
        <w:tc>
          <w:tcPr>
            <w:tcW w:w="897" w:type="pct"/>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73ED273" w14:textId="77777777" w:rsidR="00BC354E" w:rsidRPr="00A56B8B" w:rsidRDefault="00BC354E" w:rsidP="00F44711">
            <w:pPr>
              <w:jc w:val="center"/>
              <w:rPr>
                <w:sz w:val="24"/>
                <w:szCs w:val="24"/>
              </w:rPr>
            </w:pPr>
            <w:r w:rsidRPr="00A56B8B">
              <w:rPr>
                <w:color w:val="000000"/>
                <w:sz w:val="24"/>
                <w:szCs w:val="24"/>
              </w:rPr>
              <w:t>&gt;15001</w:t>
            </w:r>
          </w:p>
        </w:tc>
        <w:tc>
          <w:tcPr>
            <w:tcW w:w="1428"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201C7B31" w14:textId="77777777" w:rsidR="00BC354E" w:rsidRPr="00A56B8B" w:rsidRDefault="00BC354E" w:rsidP="00F44711">
            <w:pPr>
              <w:jc w:val="center"/>
              <w:rPr>
                <w:sz w:val="24"/>
                <w:szCs w:val="24"/>
              </w:rPr>
            </w:pPr>
            <w:r w:rsidRPr="00A56B8B">
              <w:rPr>
                <w:color w:val="000000"/>
                <w:sz w:val="24"/>
                <w:szCs w:val="24"/>
              </w:rPr>
              <w:t>$55,000</w:t>
            </w:r>
          </w:p>
        </w:tc>
        <w:tc>
          <w:tcPr>
            <w:tcW w:w="1919" w:type="pct"/>
            <w:tcBorders>
              <w:top w:val="nil"/>
              <w:left w:val="nil"/>
              <w:bottom w:val="single" w:sz="8" w:space="0" w:color="auto"/>
              <w:right w:val="single" w:sz="8" w:space="0" w:color="auto"/>
            </w:tcBorders>
            <w:shd w:val="clear" w:color="auto" w:fill="C6E0B4"/>
            <w:tcMar>
              <w:top w:w="0" w:type="dxa"/>
              <w:left w:w="108" w:type="dxa"/>
              <w:bottom w:w="0" w:type="dxa"/>
              <w:right w:w="108" w:type="dxa"/>
            </w:tcMar>
            <w:hideMark/>
          </w:tcPr>
          <w:p w14:paraId="7FAED27A" w14:textId="77777777" w:rsidR="00BC354E" w:rsidRPr="00A56B8B" w:rsidRDefault="00BC354E" w:rsidP="00F44711">
            <w:pPr>
              <w:jc w:val="center"/>
              <w:rPr>
                <w:sz w:val="24"/>
                <w:szCs w:val="24"/>
              </w:rPr>
            </w:pPr>
            <w:r w:rsidRPr="00A56B8B">
              <w:rPr>
                <w:color w:val="000000"/>
                <w:sz w:val="24"/>
                <w:szCs w:val="24"/>
              </w:rPr>
              <w:t>$400,000</w:t>
            </w:r>
          </w:p>
        </w:tc>
      </w:tr>
    </w:tbl>
    <w:p w14:paraId="40A51FF8" w14:textId="77777777" w:rsidR="00BC354E" w:rsidRPr="004E37AE" w:rsidRDefault="00BC354E" w:rsidP="004E37AE">
      <w:pPr>
        <w:rPr>
          <w:rFonts w:cstheme="minorHAnsi"/>
          <w:i/>
          <w:iCs/>
        </w:rPr>
      </w:pPr>
    </w:p>
    <w:p w14:paraId="52A9AE29" w14:textId="77777777" w:rsidR="00DD584F" w:rsidRPr="004E37AE" w:rsidRDefault="00DD584F" w:rsidP="004E37AE">
      <w:pPr>
        <w:rPr>
          <w:rFonts w:eastAsia="Times New Roman" w:cstheme="minorHAnsi"/>
        </w:rPr>
      </w:pPr>
      <w:bookmarkStart w:id="20" w:name="_Application_Process_–"/>
      <w:bookmarkEnd w:id="20"/>
    </w:p>
    <w:p w14:paraId="29120F08" w14:textId="6C410B40" w:rsidR="005F35FF" w:rsidRPr="004E37AE" w:rsidRDefault="005F35FF" w:rsidP="004E37AE">
      <w:pPr>
        <w:rPr>
          <w:rFonts w:eastAsiaTheme="majorEastAsia" w:cstheme="minorHAnsi"/>
          <w:color w:val="2F5496" w:themeColor="accent1" w:themeShade="BF"/>
        </w:rPr>
      </w:pPr>
    </w:p>
    <w:p w14:paraId="6336FF36" w14:textId="77777777" w:rsidR="00CA331D" w:rsidRDefault="00CA331D">
      <w:pPr>
        <w:rPr>
          <w:rFonts w:asciiTheme="majorHAnsi" w:eastAsiaTheme="majorEastAsia" w:hAnsiTheme="majorHAnsi" w:cstheme="majorBidi"/>
          <w:color w:val="2F5496" w:themeColor="accent1" w:themeShade="BF"/>
          <w:sz w:val="32"/>
          <w:szCs w:val="32"/>
        </w:rPr>
      </w:pPr>
      <w:r w:rsidRPr="004E37AE">
        <w:rPr>
          <w:rFonts w:cstheme="minorHAnsi"/>
        </w:rPr>
        <w:br w:type="page"/>
      </w:r>
    </w:p>
    <w:p w14:paraId="178FCDEA" w14:textId="63A579E4" w:rsidR="004305A5" w:rsidRDefault="006C28C3" w:rsidP="005A4CDF">
      <w:pPr>
        <w:pStyle w:val="Heading1"/>
      </w:pPr>
      <w:bookmarkStart w:id="21" w:name="_Section_4:_Application"/>
      <w:bookmarkEnd w:id="21"/>
      <w:r w:rsidRPr="00C449FF">
        <w:lastRenderedPageBreak/>
        <w:t xml:space="preserve">Section </w:t>
      </w:r>
      <w:r w:rsidR="00CA331D" w:rsidRPr="00C449FF">
        <w:t>4</w:t>
      </w:r>
      <w:r w:rsidRPr="00C449FF">
        <w:t xml:space="preserve">: </w:t>
      </w:r>
      <w:r w:rsidR="007E3403" w:rsidRPr="00C449FF">
        <w:t xml:space="preserve">Application Process </w:t>
      </w:r>
      <w:r w:rsidR="00B7325F" w:rsidRPr="00C449FF">
        <w:t xml:space="preserve">for </w:t>
      </w:r>
      <w:r w:rsidR="00484226" w:rsidRPr="00C449FF">
        <w:t>all Project Types</w:t>
      </w:r>
    </w:p>
    <w:p w14:paraId="3FC2205B" w14:textId="77777777" w:rsidR="005A4CDF" w:rsidRDefault="005A4CDF" w:rsidP="000E474A">
      <w:pPr>
        <w:shd w:val="clear" w:color="auto" w:fill="FFFFFF"/>
        <w:spacing w:after="0" w:line="240" w:lineRule="auto"/>
      </w:pPr>
    </w:p>
    <w:p w14:paraId="70197BFC" w14:textId="2C746A1C" w:rsidR="00C22BA8" w:rsidRDefault="000E474A" w:rsidP="000E474A">
      <w:pPr>
        <w:shd w:val="clear" w:color="auto" w:fill="FFFFFF"/>
        <w:spacing w:after="0" w:line="240" w:lineRule="auto"/>
        <w:rPr>
          <w:rFonts w:eastAsia="Times New Roman" w:cstheme="minorHAnsi"/>
        </w:rPr>
      </w:pPr>
      <w:bookmarkStart w:id="22" w:name="_Hlk129596553"/>
      <w:r w:rsidRPr="00484226">
        <w:rPr>
          <w:highlight w:val="yellow"/>
        </w:rPr>
        <w:t xml:space="preserve">For </w:t>
      </w:r>
      <w:r w:rsidR="00484226" w:rsidRPr="00484226">
        <w:rPr>
          <w:highlight w:val="yellow"/>
        </w:rPr>
        <w:t xml:space="preserve">all </w:t>
      </w:r>
      <w:r w:rsidRPr="00484226">
        <w:rPr>
          <w:highlight w:val="yellow"/>
        </w:rPr>
        <w:t xml:space="preserve">Project </w:t>
      </w:r>
      <w:bookmarkEnd w:id="22"/>
      <w:r w:rsidRPr="00484226">
        <w:rPr>
          <w:highlight w:val="yellow"/>
        </w:rPr>
        <w:t>Types</w:t>
      </w:r>
      <w:r w:rsidR="00484226" w:rsidRPr="00484226">
        <w:rPr>
          <w:highlight w:val="yellow"/>
        </w:rPr>
        <w:t xml:space="preserve">, </w:t>
      </w:r>
      <w:r w:rsidRPr="00484226">
        <w:rPr>
          <w:rFonts w:eastAsia="Times New Roman" w:cstheme="minorHAnsi"/>
          <w:highlight w:val="yellow"/>
        </w:rPr>
        <w:t>the IFA will enter into Professional Services Agreement</w:t>
      </w:r>
      <w:r w:rsidR="007022C4">
        <w:rPr>
          <w:rFonts w:eastAsia="Times New Roman" w:cstheme="minorHAnsi"/>
          <w:highlight w:val="yellow"/>
        </w:rPr>
        <w:t>s</w:t>
      </w:r>
      <w:r w:rsidRPr="00484226">
        <w:rPr>
          <w:rFonts w:eastAsia="Times New Roman" w:cstheme="minorHAnsi"/>
          <w:highlight w:val="yellow"/>
        </w:rPr>
        <w:t xml:space="preserve"> with the </w:t>
      </w:r>
      <w:r w:rsidR="000D6A11" w:rsidRPr="00484226">
        <w:rPr>
          <w:rFonts w:eastAsia="Times New Roman" w:cstheme="minorHAnsi"/>
          <w:highlight w:val="yellow"/>
        </w:rPr>
        <w:t>Service Provider</w:t>
      </w:r>
      <w:r w:rsidRPr="00484226">
        <w:rPr>
          <w:rFonts w:eastAsia="Times New Roman" w:cstheme="minorHAnsi"/>
          <w:highlight w:val="yellow"/>
        </w:rPr>
        <w:t xml:space="preserve"> </w:t>
      </w:r>
      <w:r w:rsidR="002500E4" w:rsidRPr="00484226">
        <w:rPr>
          <w:rFonts w:eastAsia="Times New Roman" w:cstheme="minorHAnsi"/>
          <w:highlight w:val="yellow"/>
        </w:rPr>
        <w:t>selected by</w:t>
      </w:r>
      <w:r w:rsidR="00C22BA8" w:rsidRPr="00484226">
        <w:rPr>
          <w:rFonts w:eastAsia="Times New Roman" w:cstheme="minorHAnsi"/>
          <w:highlight w:val="yellow"/>
        </w:rPr>
        <w:t xml:space="preserve"> the utility</w:t>
      </w:r>
      <w:r w:rsidRPr="00484226">
        <w:rPr>
          <w:rFonts w:eastAsia="Times New Roman" w:cstheme="minorHAnsi"/>
          <w:highlight w:val="yellow"/>
        </w:rPr>
        <w:t>.</w:t>
      </w:r>
      <w:r>
        <w:rPr>
          <w:rFonts w:eastAsia="Times New Roman" w:cstheme="minorHAnsi"/>
        </w:rPr>
        <w:t xml:space="preserve"> This arrangement </w:t>
      </w:r>
      <w:r w:rsidRPr="00254010">
        <w:rPr>
          <w:rFonts w:eastAsia="Times New Roman" w:cstheme="minorHAnsi"/>
        </w:rPr>
        <w:t xml:space="preserve">allows </w:t>
      </w:r>
      <w:r w:rsidR="001426A1">
        <w:rPr>
          <w:rFonts w:eastAsia="Times New Roman" w:cstheme="minorHAnsi"/>
        </w:rPr>
        <w:t>utilities</w:t>
      </w:r>
      <w:r w:rsidRPr="00254010">
        <w:rPr>
          <w:rFonts w:eastAsia="Times New Roman" w:cstheme="minorHAnsi"/>
        </w:rPr>
        <w:t xml:space="preserve"> to </w:t>
      </w:r>
      <w:r>
        <w:rPr>
          <w:rFonts w:eastAsia="Times New Roman" w:cstheme="minorHAnsi"/>
        </w:rPr>
        <w:t xml:space="preserve">work with a </w:t>
      </w:r>
      <w:r w:rsidR="000D6A11">
        <w:rPr>
          <w:rFonts w:eastAsia="Times New Roman" w:cstheme="minorHAnsi"/>
        </w:rPr>
        <w:t>Service Provider</w:t>
      </w:r>
      <w:r>
        <w:rPr>
          <w:rFonts w:eastAsia="Times New Roman" w:cstheme="minorHAnsi"/>
        </w:rPr>
        <w:t xml:space="preserve"> of their choice </w:t>
      </w:r>
      <w:r w:rsidRPr="00254010">
        <w:rPr>
          <w:rFonts w:eastAsia="Times New Roman" w:cstheme="minorHAnsi"/>
        </w:rPr>
        <w:t xml:space="preserve">without </w:t>
      </w:r>
      <w:r>
        <w:rPr>
          <w:rFonts w:eastAsia="Times New Roman" w:cstheme="minorHAnsi"/>
        </w:rPr>
        <w:t xml:space="preserve">having to </w:t>
      </w:r>
      <w:r w:rsidRPr="00254010">
        <w:rPr>
          <w:rFonts w:eastAsia="Times New Roman" w:cstheme="minorHAnsi"/>
        </w:rPr>
        <w:t>encumbe</w:t>
      </w:r>
      <w:r>
        <w:rPr>
          <w:rFonts w:eastAsia="Times New Roman" w:cstheme="minorHAnsi"/>
        </w:rPr>
        <w:t>r</w:t>
      </w:r>
      <w:r w:rsidRPr="00254010">
        <w:rPr>
          <w:rFonts w:eastAsia="Times New Roman" w:cstheme="minorHAnsi"/>
        </w:rPr>
        <w:t xml:space="preserve"> debt</w:t>
      </w:r>
      <w:r>
        <w:rPr>
          <w:rFonts w:eastAsia="Times New Roman" w:cstheme="minorHAnsi"/>
        </w:rPr>
        <w:t xml:space="preserve"> or administer a grant</w:t>
      </w:r>
      <w:r w:rsidRPr="00254010">
        <w:rPr>
          <w:rFonts w:eastAsia="Times New Roman" w:cstheme="minorHAnsi"/>
        </w:rPr>
        <w:t xml:space="preserve">. </w:t>
      </w:r>
      <w:r w:rsidR="001426A1">
        <w:rPr>
          <w:rFonts w:eastAsia="Times New Roman" w:cstheme="minorHAnsi"/>
        </w:rPr>
        <w:t>Utilities</w:t>
      </w:r>
      <w:r>
        <w:rPr>
          <w:rFonts w:eastAsia="Times New Roman" w:cstheme="minorHAnsi"/>
        </w:rPr>
        <w:t xml:space="preserve"> will be asked to </w:t>
      </w:r>
      <w:r w:rsidR="002500E4">
        <w:rPr>
          <w:rFonts w:eastAsia="Times New Roman" w:cstheme="minorHAnsi"/>
        </w:rPr>
        <w:t>identify</w:t>
      </w:r>
      <w:r>
        <w:rPr>
          <w:rFonts w:eastAsia="Times New Roman" w:cstheme="minorHAnsi"/>
        </w:rPr>
        <w:t xml:space="preserve"> a </w:t>
      </w:r>
      <w:r w:rsidR="000D6A11">
        <w:rPr>
          <w:rFonts w:eastAsia="Times New Roman" w:cstheme="minorHAnsi"/>
        </w:rPr>
        <w:t>Service Provider</w:t>
      </w:r>
      <w:r>
        <w:rPr>
          <w:rFonts w:eastAsia="Times New Roman" w:cstheme="minorHAnsi"/>
        </w:rPr>
        <w:t xml:space="preserve"> (i.e., </w:t>
      </w:r>
      <w:r w:rsidR="00AD653C">
        <w:rPr>
          <w:rFonts w:eastAsia="Times New Roman" w:cstheme="minorHAnsi"/>
        </w:rPr>
        <w:t>c</w:t>
      </w:r>
      <w:r>
        <w:rPr>
          <w:rFonts w:eastAsia="Times New Roman" w:cstheme="minorHAnsi"/>
        </w:rPr>
        <w:t>onsultant, etc.)</w:t>
      </w:r>
      <w:r w:rsidR="00C22BA8">
        <w:rPr>
          <w:rFonts w:eastAsia="Times New Roman" w:cstheme="minorHAnsi"/>
        </w:rPr>
        <w:t xml:space="preserve"> at the time of application</w:t>
      </w:r>
      <w:r w:rsidR="00EB06BE">
        <w:rPr>
          <w:rFonts w:eastAsia="Times New Roman" w:cstheme="minorHAnsi"/>
        </w:rPr>
        <w:t xml:space="preserve"> and submit </w:t>
      </w:r>
      <w:r w:rsidR="00632EB2">
        <w:rPr>
          <w:rFonts w:eastAsia="Times New Roman" w:cstheme="minorHAnsi"/>
        </w:rPr>
        <w:t>Scope of Work C</w:t>
      </w:r>
      <w:r w:rsidR="00C22BA8">
        <w:rPr>
          <w:rFonts w:eastAsia="Times New Roman" w:cstheme="minorHAnsi"/>
        </w:rPr>
        <w:t>ertification</w:t>
      </w:r>
      <w:r w:rsidR="00EB06BE">
        <w:rPr>
          <w:rFonts w:eastAsia="Times New Roman" w:cstheme="minorHAnsi"/>
        </w:rPr>
        <w:t xml:space="preserve"> </w:t>
      </w:r>
      <w:r w:rsidR="00632EB2">
        <w:rPr>
          <w:rFonts w:eastAsia="Times New Roman" w:cstheme="minorHAnsi"/>
        </w:rPr>
        <w:t>signed by both Service Provider and utility</w:t>
      </w:r>
      <w:r w:rsidR="00EB06BE">
        <w:rPr>
          <w:rFonts w:eastAsia="Times New Roman" w:cstheme="minorHAnsi"/>
        </w:rPr>
        <w:t xml:space="preserve">, which </w:t>
      </w:r>
      <w:r w:rsidR="00632EB2">
        <w:rPr>
          <w:rFonts w:eastAsia="Times New Roman" w:cstheme="minorHAnsi"/>
        </w:rPr>
        <w:t xml:space="preserve">ensures all parties agree to the project. </w:t>
      </w:r>
    </w:p>
    <w:p w14:paraId="1E4322BD" w14:textId="77777777" w:rsidR="00C22BA8" w:rsidRDefault="00C22BA8" w:rsidP="000E474A">
      <w:pPr>
        <w:shd w:val="clear" w:color="auto" w:fill="FFFFFF"/>
        <w:spacing w:after="0" w:line="240" w:lineRule="auto"/>
        <w:rPr>
          <w:rFonts w:eastAsia="Times New Roman" w:cstheme="minorHAnsi"/>
        </w:rPr>
      </w:pPr>
    </w:p>
    <w:p w14:paraId="5E70B7A0" w14:textId="426193EB" w:rsidR="007022C4" w:rsidRDefault="000E474A" w:rsidP="007022C4">
      <w:pPr>
        <w:shd w:val="clear" w:color="auto" w:fill="FFFFFF"/>
        <w:spacing w:after="0" w:line="240" w:lineRule="auto"/>
        <w:rPr>
          <w:rFonts w:eastAsia="Times New Roman" w:cstheme="minorHAnsi"/>
        </w:rPr>
      </w:pPr>
      <w:r>
        <w:rPr>
          <w:rFonts w:eastAsia="Times New Roman" w:cstheme="minorHAnsi"/>
        </w:rPr>
        <w:t xml:space="preserve">After </w:t>
      </w:r>
      <w:r w:rsidR="001426A1">
        <w:rPr>
          <w:rFonts w:eastAsia="Times New Roman" w:cstheme="minorHAnsi"/>
        </w:rPr>
        <w:t xml:space="preserve">an </w:t>
      </w:r>
      <w:r>
        <w:rPr>
          <w:rFonts w:eastAsia="Times New Roman" w:cstheme="minorHAnsi"/>
        </w:rPr>
        <w:t>application</w:t>
      </w:r>
      <w:r w:rsidR="001426A1">
        <w:rPr>
          <w:rFonts w:eastAsia="Times New Roman" w:cstheme="minorHAnsi"/>
        </w:rPr>
        <w:t xml:space="preserve"> is</w:t>
      </w:r>
      <w:r>
        <w:rPr>
          <w:rFonts w:eastAsia="Times New Roman" w:cstheme="minorHAnsi"/>
        </w:rPr>
        <w:t xml:space="preserve"> reviewed and </w:t>
      </w:r>
      <w:r w:rsidR="001426A1">
        <w:rPr>
          <w:rFonts w:eastAsia="Times New Roman" w:cstheme="minorHAnsi"/>
        </w:rPr>
        <w:t xml:space="preserve">an award is made, </w:t>
      </w:r>
      <w:r>
        <w:rPr>
          <w:rFonts w:eastAsia="Times New Roman" w:cstheme="minorHAnsi"/>
        </w:rPr>
        <w:t>the IFA will</w:t>
      </w:r>
      <w:r w:rsidR="00346632">
        <w:rPr>
          <w:rFonts w:eastAsia="Times New Roman" w:cstheme="minorHAnsi"/>
        </w:rPr>
        <w:t xml:space="preserve"> </w:t>
      </w:r>
      <w:r w:rsidRPr="00254010">
        <w:rPr>
          <w:rFonts w:eastAsia="Times New Roman" w:cstheme="minorHAnsi"/>
        </w:rPr>
        <w:t xml:space="preserve">enter into </w:t>
      </w:r>
      <w:r w:rsidR="00AD653C">
        <w:rPr>
          <w:rFonts w:eastAsia="Times New Roman" w:cstheme="minorHAnsi"/>
        </w:rPr>
        <w:t xml:space="preserve">a </w:t>
      </w:r>
      <w:r w:rsidRPr="00254010">
        <w:rPr>
          <w:rFonts w:eastAsia="Times New Roman" w:cstheme="minorHAnsi"/>
        </w:rPr>
        <w:t xml:space="preserve">Professional Services Agreement with </w:t>
      </w:r>
      <w:r>
        <w:rPr>
          <w:rFonts w:eastAsia="Times New Roman" w:cstheme="minorHAnsi"/>
        </w:rPr>
        <w:t xml:space="preserve">the </w:t>
      </w:r>
      <w:r w:rsidR="000D6A11">
        <w:rPr>
          <w:rFonts w:eastAsia="Times New Roman" w:cstheme="minorHAnsi"/>
        </w:rPr>
        <w:t>Service Provider</w:t>
      </w:r>
      <w:r w:rsidR="00EB06BE">
        <w:rPr>
          <w:rFonts w:eastAsia="Times New Roman" w:cstheme="minorHAnsi"/>
        </w:rPr>
        <w:t xml:space="preserve"> on behalf of the utility</w:t>
      </w:r>
      <w:r w:rsidRPr="00254010">
        <w:rPr>
          <w:rFonts w:eastAsia="Times New Roman" w:cstheme="minorHAnsi"/>
        </w:rPr>
        <w:t>.</w:t>
      </w:r>
      <w:r w:rsidR="00AD653C">
        <w:rPr>
          <w:rFonts w:eastAsia="Times New Roman" w:cstheme="minorHAnsi"/>
        </w:rPr>
        <w:t xml:space="preserve"> </w:t>
      </w:r>
      <w:r w:rsidR="00484226">
        <w:rPr>
          <w:rFonts w:eastAsia="Times New Roman" w:cstheme="minorHAnsi"/>
        </w:rPr>
        <w:t xml:space="preserve">See Figure 2. </w:t>
      </w:r>
      <w:r w:rsidR="007022C4">
        <w:rPr>
          <w:rFonts w:eastAsia="Times New Roman" w:cstheme="minorHAnsi"/>
        </w:rPr>
        <w:t xml:space="preserve">Application award process and time to complete </w:t>
      </w:r>
      <w:r w:rsidR="0059274A">
        <w:rPr>
          <w:rFonts w:eastAsia="Times New Roman" w:cstheme="minorHAnsi"/>
        </w:rPr>
        <w:t>projects</w:t>
      </w:r>
      <w:r w:rsidR="007022C4">
        <w:rPr>
          <w:rFonts w:eastAsia="Times New Roman" w:cstheme="minorHAnsi"/>
        </w:rPr>
        <w:t xml:space="preserve"> differ by funding type, which is described in Table 2. </w:t>
      </w:r>
    </w:p>
    <w:p w14:paraId="349BB93A" w14:textId="25416765" w:rsidR="00484226" w:rsidRDefault="00484226" w:rsidP="00916380">
      <w:pPr>
        <w:shd w:val="clear" w:color="auto" w:fill="FFFFFF"/>
        <w:spacing w:after="0" w:line="240" w:lineRule="auto"/>
        <w:rPr>
          <w:rFonts w:eastAsia="Times New Roman" w:cstheme="minorHAnsi"/>
        </w:rPr>
      </w:pPr>
    </w:p>
    <w:p w14:paraId="62BEFDD1" w14:textId="77777777" w:rsidR="007022C4" w:rsidRDefault="007022C4" w:rsidP="00916380">
      <w:pPr>
        <w:shd w:val="clear" w:color="auto" w:fill="FFFFFF"/>
        <w:spacing w:after="0" w:line="240" w:lineRule="auto"/>
        <w:rPr>
          <w:rFonts w:eastAsia="Times New Roman" w:cstheme="minorHAnsi"/>
        </w:rPr>
      </w:pPr>
    </w:p>
    <w:p w14:paraId="57DEEC23" w14:textId="77777777" w:rsidR="007022C4" w:rsidRDefault="007022C4" w:rsidP="00916380">
      <w:pPr>
        <w:shd w:val="clear" w:color="auto" w:fill="FFFFFF"/>
        <w:spacing w:after="0" w:line="240" w:lineRule="auto"/>
        <w:rPr>
          <w:rFonts w:eastAsia="Times New Roman" w:cstheme="minorHAnsi"/>
        </w:rPr>
      </w:pPr>
    </w:p>
    <w:p w14:paraId="0C761830" w14:textId="77777777" w:rsidR="000E474A" w:rsidRPr="007022C4" w:rsidRDefault="000E474A" w:rsidP="000E474A">
      <w:pPr>
        <w:rPr>
          <w:b/>
          <w:bCs/>
        </w:rPr>
      </w:pPr>
      <w:r w:rsidRPr="007022C4">
        <w:rPr>
          <w:rFonts w:eastAsia="Times New Roman" w:cstheme="minorHAnsi"/>
          <w:b/>
          <w:bCs/>
          <w:noProof/>
        </w:rPr>
        <w:drawing>
          <wp:inline distT="0" distB="0" distL="0" distR="0" wp14:anchorId="469B6434" wp14:editId="512D44FC">
            <wp:extent cx="6372860" cy="1165860"/>
            <wp:effectExtent l="0" t="0" r="27940"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C146F12" w14:textId="1F750E25" w:rsidR="000E474A" w:rsidRPr="007022C4" w:rsidRDefault="000E474A" w:rsidP="00462337">
      <w:pPr>
        <w:pStyle w:val="Heading3"/>
        <w:rPr>
          <w:rFonts w:eastAsia="Times New Roman"/>
          <w:b/>
          <w:bCs/>
          <w:sz w:val="22"/>
          <w:szCs w:val="22"/>
        </w:rPr>
      </w:pPr>
      <w:r w:rsidRPr="007022C4">
        <w:rPr>
          <w:rFonts w:eastAsia="Times New Roman"/>
          <w:b/>
          <w:bCs/>
          <w:noProof/>
          <w:sz w:val="22"/>
          <w:szCs w:val="22"/>
        </w:rPr>
        <w:t xml:space="preserve">Figure 2: </w:t>
      </w:r>
      <w:r w:rsidRPr="007022C4">
        <w:rPr>
          <w:rFonts w:eastAsia="Times New Roman"/>
          <w:noProof/>
          <w:sz w:val="22"/>
          <w:szCs w:val="22"/>
        </w:rPr>
        <w:t xml:space="preserve">Application process for </w:t>
      </w:r>
      <w:r w:rsidR="00484226" w:rsidRPr="007022C4">
        <w:rPr>
          <w:rFonts w:eastAsia="Times New Roman"/>
          <w:noProof/>
          <w:sz w:val="22"/>
          <w:szCs w:val="22"/>
        </w:rPr>
        <w:t xml:space="preserve">all </w:t>
      </w:r>
      <w:r w:rsidRPr="007022C4">
        <w:rPr>
          <w:rFonts w:eastAsia="Times New Roman"/>
          <w:noProof/>
          <w:sz w:val="22"/>
          <w:szCs w:val="22"/>
        </w:rPr>
        <w:t>Project Types</w:t>
      </w:r>
      <w:r w:rsidR="00484226" w:rsidRPr="007022C4">
        <w:rPr>
          <w:rFonts w:eastAsia="Times New Roman"/>
          <w:noProof/>
          <w:sz w:val="22"/>
          <w:szCs w:val="22"/>
        </w:rPr>
        <w:t>; t</w:t>
      </w:r>
      <w:r w:rsidRPr="007022C4">
        <w:rPr>
          <w:rFonts w:eastAsia="Times New Roman"/>
          <w:noProof/>
          <w:sz w:val="22"/>
          <w:szCs w:val="22"/>
        </w:rPr>
        <w:t xml:space="preserve">he IFA will enter into a </w:t>
      </w:r>
      <w:r w:rsidRPr="007022C4">
        <w:rPr>
          <w:rFonts w:eastAsia="Times New Roman"/>
          <w:sz w:val="22"/>
          <w:szCs w:val="22"/>
        </w:rPr>
        <w:t>direct Professional Services Agreements</w:t>
      </w:r>
      <w:r w:rsidR="00F6022A" w:rsidRPr="007022C4">
        <w:rPr>
          <w:rFonts w:eastAsia="Times New Roman"/>
          <w:sz w:val="22"/>
          <w:szCs w:val="22"/>
        </w:rPr>
        <w:t xml:space="preserve"> </w:t>
      </w:r>
      <w:r w:rsidR="00F6022A" w:rsidRPr="007022C4">
        <w:rPr>
          <w:rFonts w:eastAsia="Times New Roman"/>
          <w:noProof/>
          <w:sz w:val="22"/>
          <w:szCs w:val="22"/>
        </w:rPr>
        <w:t xml:space="preserve">for </w:t>
      </w:r>
      <w:r w:rsidR="00484226" w:rsidRPr="007022C4">
        <w:rPr>
          <w:rFonts w:eastAsia="Times New Roman"/>
          <w:noProof/>
          <w:sz w:val="22"/>
          <w:szCs w:val="22"/>
        </w:rPr>
        <w:t xml:space="preserve">all </w:t>
      </w:r>
      <w:r w:rsidR="00F6022A" w:rsidRPr="007022C4">
        <w:rPr>
          <w:rFonts w:eastAsia="Times New Roman"/>
          <w:noProof/>
          <w:sz w:val="22"/>
          <w:szCs w:val="22"/>
        </w:rPr>
        <w:t>Project Types</w:t>
      </w:r>
      <w:r w:rsidRPr="007022C4">
        <w:rPr>
          <w:rFonts w:eastAsia="Times New Roman"/>
          <w:sz w:val="22"/>
          <w:szCs w:val="22"/>
        </w:rPr>
        <w:t>.</w:t>
      </w:r>
    </w:p>
    <w:p w14:paraId="50436B9C" w14:textId="77777777" w:rsidR="00484226" w:rsidRDefault="00484226" w:rsidP="00484226">
      <w:pPr>
        <w:shd w:val="clear" w:color="auto" w:fill="FFFFFF"/>
        <w:spacing w:after="0" w:line="240" w:lineRule="auto"/>
        <w:rPr>
          <w:rFonts w:eastAsia="Times New Roman" w:cstheme="minorHAnsi"/>
        </w:rPr>
      </w:pPr>
      <w:bookmarkStart w:id="23" w:name="_Figure_2:_Application"/>
      <w:bookmarkEnd w:id="23"/>
    </w:p>
    <w:p w14:paraId="5E7A0266" w14:textId="77777777" w:rsidR="00834639" w:rsidRDefault="00834639" w:rsidP="00484226">
      <w:pPr>
        <w:shd w:val="clear" w:color="auto" w:fill="FFFFFF"/>
        <w:spacing w:after="0" w:line="240" w:lineRule="auto"/>
        <w:rPr>
          <w:rFonts w:eastAsia="Times New Roman" w:cstheme="minorHAnsi"/>
        </w:rPr>
      </w:pPr>
    </w:p>
    <w:p w14:paraId="7567E7F0" w14:textId="77777777" w:rsidR="0059274A" w:rsidRDefault="0059274A" w:rsidP="00484226">
      <w:pPr>
        <w:shd w:val="clear" w:color="auto" w:fill="FFFFFF"/>
        <w:spacing w:after="0" w:line="240" w:lineRule="auto"/>
        <w:rPr>
          <w:rFonts w:eastAsia="Times New Roman" w:cstheme="minorHAnsi"/>
        </w:rPr>
      </w:pPr>
    </w:p>
    <w:p w14:paraId="1681E49E" w14:textId="075AFF09" w:rsidR="0060431B" w:rsidRPr="007022C4" w:rsidRDefault="0060431B" w:rsidP="00834639">
      <w:pPr>
        <w:pStyle w:val="Heading3"/>
        <w:rPr>
          <w:rFonts w:eastAsia="Times New Roman"/>
          <w:sz w:val="22"/>
          <w:szCs w:val="22"/>
        </w:rPr>
      </w:pPr>
      <w:bookmarkStart w:id="24" w:name="_Table_2._Application"/>
      <w:bookmarkEnd w:id="24"/>
      <w:r w:rsidRPr="007022C4">
        <w:rPr>
          <w:rFonts w:eastAsia="Times New Roman"/>
          <w:b/>
          <w:bCs/>
          <w:sz w:val="22"/>
          <w:szCs w:val="22"/>
          <w:highlight w:val="yellow"/>
        </w:rPr>
        <w:t xml:space="preserve">Table 2. </w:t>
      </w:r>
      <w:r w:rsidRPr="007022C4">
        <w:rPr>
          <w:rFonts w:eastAsia="Times New Roman"/>
          <w:sz w:val="22"/>
          <w:szCs w:val="22"/>
          <w:highlight w:val="yellow"/>
        </w:rPr>
        <w:t>Application processes for Noncompetitive and Competitive Funding.</w:t>
      </w:r>
      <w:r w:rsidRPr="007022C4">
        <w:rPr>
          <w:rFonts w:eastAsia="Times New Roman"/>
          <w:sz w:val="22"/>
          <w:szCs w:val="22"/>
        </w:rPr>
        <w:t xml:space="preserve"> </w:t>
      </w:r>
    </w:p>
    <w:tbl>
      <w:tblPr>
        <w:tblpPr w:leftFromText="180" w:rightFromText="180" w:vertAnchor="text" w:tblpY="1"/>
        <w:tblOverlap w:val="never"/>
        <w:tblW w:w="4998" w:type="pct"/>
        <w:tblLayout w:type="fixed"/>
        <w:tblCellMar>
          <w:left w:w="0" w:type="dxa"/>
          <w:right w:w="0" w:type="dxa"/>
        </w:tblCellMar>
        <w:tblLook w:val="04A0" w:firstRow="1" w:lastRow="0" w:firstColumn="1" w:lastColumn="0" w:noHBand="0" w:noVBand="1"/>
      </w:tblPr>
      <w:tblGrid>
        <w:gridCol w:w="2059"/>
        <w:gridCol w:w="1261"/>
        <w:gridCol w:w="1440"/>
        <w:gridCol w:w="1350"/>
        <w:gridCol w:w="3946"/>
      </w:tblGrid>
      <w:tr w:rsidR="00BB2208" w14:paraId="59D3771D" w14:textId="77777777" w:rsidTr="00834639">
        <w:trPr>
          <w:trHeight w:val="707"/>
        </w:trPr>
        <w:tc>
          <w:tcPr>
            <w:tcW w:w="1024" w:type="pct"/>
            <w:vMerge w:val="restart"/>
            <w:tcBorders>
              <w:top w:val="single" w:sz="8" w:space="0" w:color="auto"/>
              <w:left w:val="single" w:sz="8" w:space="0" w:color="auto"/>
              <w:bottom w:val="single" w:sz="8" w:space="0" w:color="auto"/>
              <w:right w:val="single" w:sz="8" w:space="0" w:color="auto"/>
            </w:tcBorders>
            <w:shd w:val="clear" w:color="auto" w:fill="BDD7EE"/>
            <w:tcMar>
              <w:top w:w="0" w:type="dxa"/>
              <w:left w:w="108" w:type="dxa"/>
              <w:bottom w:w="0" w:type="dxa"/>
              <w:right w:w="108" w:type="dxa"/>
            </w:tcMar>
            <w:vAlign w:val="center"/>
            <w:hideMark/>
          </w:tcPr>
          <w:p w14:paraId="10A8237D" w14:textId="2AC80E19" w:rsidR="00C60316" w:rsidRPr="00A56B8B" w:rsidRDefault="00C60316" w:rsidP="00BB2208">
            <w:pPr>
              <w:jc w:val="center"/>
              <w:rPr>
                <w:b/>
                <w:bCs/>
                <w:sz w:val="24"/>
                <w:szCs w:val="24"/>
              </w:rPr>
            </w:pPr>
          </w:p>
        </w:tc>
        <w:tc>
          <w:tcPr>
            <w:tcW w:w="2014" w:type="pct"/>
            <w:gridSpan w:val="3"/>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761B20DA" w14:textId="77777777" w:rsidR="00C60316" w:rsidRPr="00A56B8B" w:rsidRDefault="00C60316" w:rsidP="00BB2208">
            <w:pPr>
              <w:jc w:val="center"/>
              <w:rPr>
                <w:b/>
                <w:bCs/>
                <w:sz w:val="24"/>
                <w:szCs w:val="24"/>
              </w:rPr>
            </w:pPr>
            <w:r w:rsidRPr="00A56B8B">
              <w:rPr>
                <w:b/>
                <w:bCs/>
                <w:color w:val="000000"/>
                <w:sz w:val="24"/>
                <w:szCs w:val="24"/>
                <w:u w:val="single"/>
              </w:rPr>
              <w:t>Noncompetitive</w:t>
            </w:r>
            <w:r w:rsidRPr="00A56B8B">
              <w:rPr>
                <w:b/>
                <w:bCs/>
                <w:color w:val="000000"/>
                <w:sz w:val="24"/>
                <w:szCs w:val="24"/>
              </w:rPr>
              <w:t xml:space="preserve"> Funds </w:t>
            </w:r>
          </w:p>
        </w:tc>
        <w:tc>
          <w:tcPr>
            <w:tcW w:w="1962" w:type="pct"/>
            <w:tcBorders>
              <w:top w:val="single" w:sz="8" w:space="0" w:color="auto"/>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09C852BF" w14:textId="14654F7D" w:rsidR="00C60316" w:rsidRPr="00A56B8B" w:rsidRDefault="00C60316" w:rsidP="00BB2208">
            <w:pPr>
              <w:jc w:val="center"/>
              <w:rPr>
                <w:b/>
                <w:bCs/>
                <w:sz w:val="24"/>
                <w:szCs w:val="24"/>
              </w:rPr>
            </w:pPr>
            <w:r w:rsidRPr="00D81B32">
              <w:rPr>
                <w:b/>
                <w:bCs/>
                <w:color w:val="000000"/>
                <w:sz w:val="24"/>
                <w:szCs w:val="24"/>
                <w:u w:val="single"/>
              </w:rPr>
              <w:t>Competitive</w:t>
            </w:r>
            <w:r w:rsidRPr="00A56B8B">
              <w:rPr>
                <w:b/>
                <w:bCs/>
                <w:color w:val="000000"/>
                <w:sz w:val="24"/>
                <w:szCs w:val="24"/>
              </w:rPr>
              <w:t xml:space="preserve"> Funds</w:t>
            </w:r>
          </w:p>
          <w:p w14:paraId="651B0D20" w14:textId="77777777" w:rsidR="00C60316" w:rsidRPr="00A56B8B" w:rsidRDefault="00C60316" w:rsidP="00BB2208">
            <w:pPr>
              <w:jc w:val="center"/>
              <w:rPr>
                <w:i/>
                <w:iCs/>
                <w:sz w:val="24"/>
                <w:szCs w:val="24"/>
              </w:rPr>
            </w:pPr>
          </w:p>
        </w:tc>
      </w:tr>
      <w:tr w:rsidR="0060431B" w14:paraId="375F3212" w14:textId="77777777" w:rsidTr="00834639">
        <w:trPr>
          <w:trHeight w:val="506"/>
        </w:trPr>
        <w:tc>
          <w:tcPr>
            <w:tcW w:w="1024" w:type="pct"/>
            <w:vMerge/>
            <w:tcBorders>
              <w:top w:val="single" w:sz="8" w:space="0" w:color="auto"/>
              <w:left w:val="single" w:sz="8" w:space="0" w:color="auto"/>
              <w:bottom w:val="single" w:sz="8" w:space="0" w:color="auto"/>
              <w:right w:val="single" w:sz="8" w:space="0" w:color="auto"/>
            </w:tcBorders>
            <w:vAlign w:val="center"/>
            <w:hideMark/>
          </w:tcPr>
          <w:p w14:paraId="208D825B" w14:textId="77777777" w:rsidR="00C60316" w:rsidRPr="00A56B8B" w:rsidRDefault="00C60316" w:rsidP="00BB2208">
            <w:pPr>
              <w:rPr>
                <w:rFonts w:ascii="Calibri" w:hAnsi="Calibri" w:cs="Calibri"/>
                <w:b/>
                <w:bCs/>
                <w:sz w:val="24"/>
                <w:szCs w:val="24"/>
                <w14:ligatures w14:val="standardContextual"/>
              </w:rPr>
            </w:pPr>
          </w:p>
        </w:tc>
        <w:tc>
          <w:tcPr>
            <w:tcW w:w="627"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66431EA2" w14:textId="5FEC89BD" w:rsidR="00C60316" w:rsidRPr="00A56B8B" w:rsidRDefault="00C60316" w:rsidP="00BB2208">
            <w:pPr>
              <w:jc w:val="center"/>
              <w:rPr>
                <w:b/>
                <w:bCs/>
                <w:sz w:val="24"/>
                <w:szCs w:val="24"/>
              </w:rPr>
            </w:pPr>
            <w:r w:rsidRPr="00A56B8B">
              <w:rPr>
                <w:b/>
                <w:bCs/>
                <w:color w:val="000000"/>
                <w:sz w:val="24"/>
                <w:szCs w:val="24"/>
              </w:rPr>
              <w:t xml:space="preserve">Type I </w:t>
            </w:r>
          </w:p>
        </w:tc>
        <w:tc>
          <w:tcPr>
            <w:tcW w:w="716"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37FB1753" w14:textId="692891D7" w:rsidR="00C60316" w:rsidRPr="00A56B8B" w:rsidRDefault="00C60316" w:rsidP="00BB2208">
            <w:pPr>
              <w:jc w:val="center"/>
              <w:rPr>
                <w:b/>
                <w:bCs/>
                <w:sz w:val="24"/>
                <w:szCs w:val="24"/>
              </w:rPr>
            </w:pPr>
            <w:r w:rsidRPr="00A56B8B">
              <w:rPr>
                <w:b/>
                <w:bCs/>
                <w:color w:val="000000"/>
                <w:sz w:val="24"/>
                <w:szCs w:val="24"/>
              </w:rPr>
              <w:t>Type II</w:t>
            </w:r>
          </w:p>
        </w:tc>
        <w:tc>
          <w:tcPr>
            <w:tcW w:w="671"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36BAA943" w14:textId="3BF5331C" w:rsidR="00C60316" w:rsidRPr="00A56B8B" w:rsidRDefault="00C60316" w:rsidP="00BB2208">
            <w:pPr>
              <w:jc w:val="center"/>
              <w:rPr>
                <w:b/>
                <w:bCs/>
                <w:sz w:val="24"/>
                <w:szCs w:val="24"/>
              </w:rPr>
            </w:pPr>
            <w:r w:rsidRPr="00A56B8B">
              <w:rPr>
                <w:b/>
                <w:bCs/>
                <w:color w:val="000000"/>
                <w:sz w:val="24"/>
                <w:szCs w:val="24"/>
              </w:rPr>
              <w:t>Type III</w:t>
            </w:r>
          </w:p>
        </w:tc>
        <w:tc>
          <w:tcPr>
            <w:tcW w:w="1962" w:type="pct"/>
            <w:tcBorders>
              <w:top w:val="nil"/>
              <w:left w:val="nil"/>
              <w:bottom w:val="single" w:sz="8" w:space="0" w:color="auto"/>
              <w:right w:val="single" w:sz="8" w:space="0" w:color="auto"/>
            </w:tcBorders>
            <w:shd w:val="clear" w:color="auto" w:fill="BDD7EE"/>
            <w:tcMar>
              <w:top w:w="0" w:type="dxa"/>
              <w:left w:w="108" w:type="dxa"/>
              <w:bottom w:w="0" w:type="dxa"/>
              <w:right w:w="108" w:type="dxa"/>
            </w:tcMar>
            <w:vAlign w:val="center"/>
            <w:hideMark/>
          </w:tcPr>
          <w:p w14:paraId="31FC4E93" w14:textId="28FBD548" w:rsidR="00C60316" w:rsidRPr="00A56B8B" w:rsidRDefault="00C60316" w:rsidP="00BB2208">
            <w:pPr>
              <w:jc w:val="center"/>
              <w:rPr>
                <w:b/>
                <w:bCs/>
                <w:sz w:val="24"/>
                <w:szCs w:val="24"/>
              </w:rPr>
            </w:pPr>
            <w:r w:rsidRPr="00A56B8B">
              <w:rPr>
                <w:b/>
                <w:bCs/>
                <w:color w:val="000000"/>
                <w:sz w:val="24"/>
                <w:szCs w:val="24"/>
              </w:rPr>
              <w:t>Type III</w:t>
            </w:r>
          </w:p>
        </w:tc>
      </w:tr>
      <w:tr w:rsidR="00BB2208" w14:paraId="53A798DC" w14:textId="77777777" w:rsidTr="00834639">
        <w:trPr>
          <w:trHeight w:val="306"/>
        </w:trPr>
        <w:tc>
          <w:tcPr>
            <w:tcW w:w="1024"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tcPr>
          <w:p w14:paraId="5A10C01E" w14:textId="0FB76BA7" w:rsidR="00C60316" w:rsidRPr="00A56B8B" w:rsidRDefault="007022C4" w:rsidP="00BB2208">
            <w:pPr>
              <w:rPr>
                <w:sz w:val="24"/>
                <w:szCs w:val="24"/>
              </w:rPr>
            </w:pPr>
            <w:r>
              <w:rPr>
                <w:sz w:val="24"/>
                <w:szCs w:val="24"/>
              </w:rPr>
              <w:t>Application d</w:t>
            </w:r>
            <w:r w:rsidR="00C60316">
              <w:rPr>
                <w:sz w:val="24"/>
                <w:szCs w:val="24"/>
              </w:rPr>
              <w:t>eadline</w:t>
            </w:r>
          </w:p>
        </w:tc>
        <w:tc>
          <w:tcPr>
            <w:tcW w:w="2014"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tcPr>
          <w:p w14:paraId="5ABA21D2" w14:textId="5A9946E0" w:rsidR="00C60316" w:rsidRPr="00A56B8B" w:rsidRDefault="00C60316" w:rsidP="00BB2208">
            <w:pPr>
              <w:rPr>
                <w:sz w:val="24"/>
                <w:szCs w:val="24"/>
              </w:rPr>
            </w:pPr>
            <w:r>
              <w:rPr>
                <w:sz w:val="24"/>
                <w:szCs w:val="24"/>
              </w:rPr>
              <w:t>February 29, 2024</w:t>
            </w:r>
          </w:p>
        </w:tc>
        <w:tc>
          <w:tcPr>
            <w:tcW w:w="1962" w:type="pct"/>
            <w:tcBorders>
              <w:top w:val="nil"/>
              <w:left w:val="nil"/>
              <w:bottom w:val="single" w:sz="8" w:space="0" w:color="auto"/>
              <w:right w:val="single" w:sz="8" w:space="0" w:color="auto"/>
            </w:tcBorders>
            <w:shd w:val="clear" w:color="auto" w:fill="C6E0B4"/>
            <w:tcMar>
              <w:top w:w="0" w:type="dxa"/>
              <w:left w:w="108" w:type="dxa"/>
              <w:bottom w:w="0" w:type="dxa"/>
              <w:right w:w="108" w:type="dxa"/>
            </w:tcMar>
          </w:tcPr>
          <w:p w14:paraId="31B04DDB" w14:textId="652475C7" w:rsidR="00C60316" w:rsidRPr="00A56B8B" w:rsidRDefault="00C60316" w:rsidP="00BB2208">
            <w:pPr>
              <w:rPr>
                <w:sz w:val="24"/>
                <w:szCs w:val="24"/>
              </w:rPr>
            </w:pPr>
            <w:r>
              <w:rPr>
                <w:sz w:val="24"/>
                <w:szCs w:val="24"/>
              </w:rPr>
              <w:t>February 29, 2024</w:t>
            </w:r>
          </w:p>
        </w:tc>
      </w:tr>
      <w:tr w:rsidR="00BB2208" w14:paraId="0219CFD9" w14:textId="77777777" w:rsidTr="00834639">
        <w:trPr>
          <w:trHeight w:val="306"/>
        </w:trPr>
        <w:tc>
          <w:tcPr>
            <w:tcW w:w="1024"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tcPr>
          <w:p w14:paraId="5FA002A4" w14:textId="7ADF57EB" w:rsidR="00C60316" w:rsidRPr="00A56B8B" w:rsidRDefault="00C60316" w:rsidP="00BB2208">
            <w:pPr>
              <w:rPr>
                <w:sz w:val="24"/>
                <w:szCs w:val="24"/>
              </w:rPr>
            </w:pPr>
            <w:r>
              <w:rPr>
                <w:sz w:val="24"/>
                <w:szCs w:val="24"/>
              </w:rPr>
              <w:t>Award process</w:t>
            </w:r>
          </w:p>
        </w:tc>
        <w:tc>
          <w:tcPr>
            <w:tcW w:w="2014"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tcPr>
          <w:p w14:paraId="3D0CE25E" w14:textId="73C3423D" w:rsidR="00C60316" w:rsidRPr="00A56B8B" w:rsidRDefault="00C60316" w:rsidP="00BB2208">
            <w:pPr>
              <w:rPr>
                <w:sz w:val="24"/>
                <w:szCs w:val="24"/>
              </w:rPr>
            </w:pPr>
            <w:r>
              <w:rPr>
                <w:sz w:val="24"/>
                <w:szCs w:val="24"/>
              </w:rPr>
              <w:t>Ongoing</w:t>
            </w:r>
          </w:p>
        </w:tc>
        <w:tc>
          <w:tcPr>
            <w:tcW w:w="1962" w:type="pct"/>
            <w:tcBorders>
              <w:top w:val="nil"/>
              <w:left w:val="nil"/>
              <w:bottom w:val="single" w:sz="8" w:space="0" w:color="auto"/>
              <w:right w:val="single" w:sz="8" w:space="0" w:color="auto"/>
            </w:tcBorders>
            <w:shd w:val="clear" w:color="auto" w:fill="C6E0B4"/>
            <w:tcMar>
              <w:top w:w="0" w:type="dxa"/>
              <w:left w:w="108" w:type="dxa"/>
              <w:bottom w:w="0" w:type="dxa"/>
              <w:right w:w="108" w:type="dxa"/>
            </w:tcMar>
          </w:tcPr>
          <w:p w14:paraId="32550126" w14:textId="301DED73" w:rsidR="00C60316" w:rsidRPr="00A56B8B" w:rsidRDefault="00C60316" w:rsidP="00BB2208">
            <w:pPr>
              <w:rPr>
                <w:sz w:val="24"/>
                <w:szCs w:val="24"/>
              </w:rPr>
            </w:pPr>
            <w:r>
              <w:rPr>
                <w:sz w:val="24"/>
                <w:szCs w:val="24"/>
              </w:rPr>
              <w:t>After March 1, 2024, applications</w:t>
            </w:r>
            <w:r w:rsidR="0059274A">
              <w:rPr>
                <w:sz w:val="24"/>
                <w:szCs w:val="24"/>
              </w:rPr>
              <w:t xml:space="preserve"> will be scored and ranked</w:t>
            </w:r>
          </w:p>
        </w:tc>
      </w:tr>
      <w:tr w:rsidR="00BB2208" w14:paraId="7D8FFC28" w14:textId="77777777" w:rsidTr="00834639">
        <w:trPr>
          <w:trHeight w:val="306"/>
        </w:trPr>
        <w:tc>
          <w:tcPr>
            <w:tcW w:w="1024"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vAlign w:val="center"/>
          </w:tcPr>
          <w:p w14:paraId="33475E6C" w14:textId="49385E7D" w:rsidR="00C60316" w:rsidRPr="00A56B8B" w:rsidRDefault="00C60316" w:rsidP="00BB2208">
            <w:pPr>
              <w:rPr>
                <w:sz w:val="24"/>
                <w:szCs w:val="24"/>
              </w:rPr>
            </w:pPr>
            <w:r>
              <w:rPr>
                <w:sz w:val="24"/>
                <w:szCs w:val="24"/>
              </w:rPr>
              <w:t>Time to complete project</w:t>
            </w:r>
          </w:p>
        </w:tc>
        <w:tc>
          <w:tcPr>
            <w:tcW w:w="2014"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tcPr>
          <w:p w14:paraId="56C312B6" w14:textId="7F5F1246" w:rsidR="00C60316" w:rsidRPr="00A56B8B" w:rsidRDefault="00C60316" w:rsidP="00BB2208">
            <w:pPr>
              <w:rPr>
                <w:sz w:val="24"/>
                <w:szCs w:val="24"/>
              </w:rPr>
            </w:pPr>
            <w:r>
              <w:rPr>
                <w:sz w:val="24"/>
                <w:szCs w:val="24"/>
              </w:rPr>
              <w:t>6 months</w:t>
            </w:r>
          </w:p>
        </w:tc>
        <w:tc>
          <w:tcPr>
            <w:tcW w:w="1962" w:type="pct"/>
            <w:tcBorders>
              <w:top w:val="nil"/>
              <w:left w:val="nil"/>
              <w:bottom w:val="single" w:sz="8" w:space="0" w:color="auto"/>
              <w:right w:val="single" w:sz="8" w:space="0" w:color="auto"/>
            </w:tcBorders>
            <w:shd w:val="clear" w:color="auto" w:fill="C6E0B4"/>
            <w:tcMar>
              <w:top w:w="0" w:type="dxa"/>
              <w:left w:w="108" w:type="dxa"/>
              <w:bottom w:w="0" w:type="dxa"/>
              <w:right w:w="108" w:type="dxa"/>
            </w:tcMar>
          </w:tcPr>
          <w:p w14:paraId="14B1A191" w14:textId="475B3135" w:rsidR="00C60316" w:rsidRPr="00A56B8B" w:rsidRDefault="00C60316" w:rsidP="00BB2208">
            <w:pPr>
              <w:rPr>
                <w:sz w:val="24"/>
                <w:szCs w:val="24"/>
              </w:rPr>
            </w:pPr>
            <w:r>
              <w:rPr>
                <w:sz w:val="24"/>
                <w:szCs w:val="24"/>
              </w:rPr>
              <w:t>12 months</w:t>
            </w:r>
          </w:p>
        </w:tc>
      </w:tr>
      <w:tr w:rsidR="00BB2208" w14:paraId="3DC4F013" w14:textId="77777777" w:rsidTr="00834639">
        <w:trPr>
          <w:trHeight w:val="835"/>
        </w:trPr>
        <w:tc>
          <w:tcPr>
            <w:tcW w:w="1024" w:type="pct"/>
            <w:tcBorders>
              <w:top w:val="nil"/>
              <w:left w:val="single" w:sz="8" w:space="0" w:color="auto"/>
              <w:bottom w:val="single" w:sz="8" w:space="0" w:color="auto"/>
              <w:right w:val="single" w:sz="8" w:space="0" w:color="auto"/>
            </w:tcBorders>
            <w:shd w:val="clear" w:color="auto" w:fill="C6E0B4"/>
            <w:noWrap/>
            <w:tcMar>
              <w:top w:w="0" w:type="dxa"/>
              <w:left w:w="108" w:type="dxa"/>
              <w:bottom w:w="0" w:type="dxa"/>
              <w:right w:w="108" w:type="dxa"/>
            </w:tcMar>
          </w:tcPr>
          <w:p w14:paraId="17C98B7C" w14:textId="4E75FA30" w:rsidR="00C60316" w:rsidRPr="00A56B8B" w:rsidRDefault="00C60316" w:rsidP="00BB2208">
            <w:pPr>
              <w:rPr>
                <w:sz w:val="24"/>
                <w:szCs w:val="24"/>
              </w:rPr>
            </w:pPr>
            <w:r>
              <w:rPr>
                <w:sz w:val="24"/>
                <w:szCs w:val="24"/>
              </w:rPr>
              <w:t xml:space="preserve">Items </w:t>
            </w:r>
            <w:r w:rsidR="0060431B">
              <w:rPr>
                <w:sz w:val="24"/>
                <w:szCs w:val="24"/>
              </w:rPr>
              <w:t>to submit</w:t>
            </w:r>
          </w:p>
        </w:tc>
        <w:tc>
          <w:tcPr>
            <w:tcW w:w="2014" w:type="pct"/>
            <w:gridSpan w:val="3"/>
            <w:tcBorders>
              <w:top w:val="nil"/>
              <w:left w:val="nil"/>
              <w:bottom w:val="single" w:sz="8" w:space="0" w:color="auto"/>
              <w:right w:val="single" w:sz="8" w:space="0" w:color="auto"/>
            </w:tcBorders>
            <w:shd w:val="clear" w:color="auto" w:fill="C6E0B4"/>
            <w:noWrap/>
            <w:tcMar>
              <w:top w:w="0" w:type="dxa"/>
              <w:left w:w="108" w:type="dxa"/>
              <w:bottom w:w="0" w:type="dxa"/>
              <w:right w:w="108" w:type="dxa"/>
            </w:tcMar>
          </w:tcPr>
          <w:p w14:paraId="4B864943" w14:textId="2B7EFB6C" w:rsidR="00C60316" w:rsidRPr="00BB2208" w:rsidRDefault="00BB2208" w:rsidP="00BB2208">
            <w:pPr>
              <w:rPr>
                <w:sz w:val="24"/>
                <w:szCs w:val="24"/>
              </w:rPr>
            </w:pPr>
            <w:r w:rsidRPr="00BB2208">
              <w:rPr>
                <w:sz w:val="24"/>
                <w:szCs w:val="24"/>
              </w:rPr>
              <w:t>Online application</w:t>
            </w:r>
            <w:r>
              <w:rPr>
                <w:sz w:val="24"/>
                <w:szCs w:val="24"/>
              </w:rPr>
              <w:t>, Scope of Work Certification Form</w:t>
            </w:r>
          </w:p>
        </w:tc>
        <w:tc>
          <w:tcPr>
            <w:tcW w:w="1962" w:type="pct"/>
            <w:tcBorders>
              <w:top w:val="nil"/>
              <w:left w:val="nil"/>
              <w:bottom w:val="single" w:sz="8" w:space="0" w:color="auto"/>
              <w:right w:val="single" w:sz="8" w:space="0" w:color="auto"/>
            </w:tcBorders>
            <w:shd w:val="clear" w:color="auto" w:fill="C6E0B4"/>
            <w:tcMar>
              <w:top w:w="0" w:type="dxa"/>
              <w:left w:w="108" w:type="dxa"/>
              <w:bottom w:w="0" w:type="dxa"/>
              <w:right w:w="108" w:type="dxa"/>
            </w:tcMar>
          </w:tcPr>
          <w:p w14:paraId="79B55D30" w14:textId="49B84AAD" w:rsidR="00C60316" w:rsidRPr="00A56B8B" w:rsidRDefault="0060431B" w:rsidP="00BB2208">
            <w:pPr>
              <w:rPr>
                <w:sz w:val="24"/>
                <w:szCs w:val="24"/>
              </w:rPr>
            </w:pPr>
            <w:r w:rsidRPr="00BB2208">
              <w:rPr>
                <w:sz w:val="24"/>
                <w:szCs w:val="24"/>
              </w:rPr>
              <w:t>Online application</w:t>
            </w:r>
            <w:r>
              <w:rPr>
                <w:sz w:val="24"/>
                <w:szCs w:val="24"/>
              </w:rPr>
              <w:t>, Scope of Work Certification Form</w:t>
            </w:r>
          </w:p>
        </w:tc>
      </w:tr>
    </w:tbl>
    <w:p w14:paraId="6131813C" w14:textId="77777777" w:rsidR="00C449FF" w:rsidRDefault="00C449FF" w:rsidP="00484226">
      <w:pPr>
        <w:shd w:val="clear" w:color="auto" w:fill="FFFFFF"/>
        <w:spacing w:after="0" w:line="240" w:lineRule="auto"/>
        <w:rPr>
          <w:rFonts w:eastAsia="Times New Roman" w:cstheme="minorHAnsi"/>
        </w:rPr>
      </w:pPr>
    </w:p>
    <w:p w14:paraId="4E38BEEF" w14:textId="77777777" w:rsidR="00C449FF" w:rsidRDefault="00C449FF" w:rsidP="00484226">
      <w:pPr>
        <w:shd w:val="clear" w:color="auto" w:fill="FFFFFF"/>
        <w:spacing w:after="0" w:line="240" w:lineRule="auto"/>
        <w:rPr>
          <w:rFonts w:eastAsia="Times New Roman" w:cstheme="minorHAnsi"/>
        </w:rPr>
      </w:pPr>
    </w:p>
    <w:p w14:paraId="46A63377" w14:textId="0B643AA6" w:rsidR="007E3403" w:rsidRPr="008374F4" w:rsidRDefault="00567287" w:rsidP="00F818F5">
      <w:bookmarkStart w:id="25" w:name="_Hlk130221392"/>
      <w:r w:rsidRPr="00C449FF">
        <w:lastRenderedPageBreak/>
        <w:t xml:space="preserve">Information needed </w:t>
      </w:r>
      <w:r w:rsidR="0060431B">
        <w:t xml:space="preserve">on </w:t>
      </w:r>
      <w:r w:rsidR="00834639">
        <w:t xml:space="preserve">all </w:t>
      </w:r>
      <w:r w:rsidR="0060431B">
        <w:t xml:space="preserve">applications: </w:t>
      </w:r>
      <w:r w:rsidRPr="008374F4">
        <w:t xml:space="preserve"> </w:t>
      </w:r>
    </w:p>
    <w:p w14:paraId="42CDEEF1" w14:textId="18685F40" w:rsidR="00632EB2" w:rsidRPr="008374F4" w:rsidRDefault="00632EB2" w:rsidP="00567287">
      <w:pPr>
        <w:pStyle w:val="ListParagraph"/>
        <w:numPr>
          <w:ilvl w:val="0"/>
          <w:numId w:val="19"/>
        </w:numPr>
      </w:pPr>
      <w:r w:rsidRPr="008374F4">
        <w:t>PWS name and PWSID</w:t>
      </w:r>
    </w:p>
    <w:p w14:paraId="771AE9BF" w14:textId="26D1AC6B" w:rsidR="00632EB2" w:rsidRPr="008374F4" w:rsidRDefault="00632EB2" w:rsidP="00567287">
      <w:pPr>
        <w:pStyle w:val="ListParagraph"/>
        <w:numPr>
          <w:ilvl w:val="0"/>
          <w:numId w:val="19"/>
        </w:numPr>
      </w:pPr>
      <w:r w:rsidRPr="008374F4">
        <w:t>Utility</w:t>
      </w:r>
      <w:r w:rsidR="00CB5940" w:rsidRPr="008374F4">
        <w:t xml:space="preserve"> </w:t>
      </w:r>
      <w:r w:rsidRPr="008374F4">
        <w:t xml:space="preserve">contact </w:t>
      </w:r>
      <w:r w:rsidR="00CB5940" w:rsidRPr="008374F4">
        <w:t>i</w:t>
      </w:r>
      <w:r w:rsidRPr="008374F4">
        <w:t>nformation</w:t>
      </w:r>
    </w:p>
    <w:p w14:paraId="48D9A828" w14:textId="7610AC2D" w:rsidR="00632EB2" w:rsidRPr="008374F4" w:rsidRDefault="00632EB2" w:rsidP="00567287">
      <w:pPr>
        <w:pStyle w:val="ListParagraph"/>
        <w:numPr>
          <w:ilvl w:val="0"/>
          <w:numId w:val="19"/>
        </w:numPr>
      </w:pPr>
      <w:r w:rsidRPr="008374F4">
        <w:t>Service Provider contact information</w:t>
      </w:r>
    </w:p>
    <w:p w14:paraId="2144EDE8" w14:textId="79EAE130" w:rsidR="00567287" w:rsidRDefault="00567287" w:rsidP="00567287">
      <w:pPr>
        <w:pStyle w:val="ListParagraph"/>
        <w:numPr>
          <w:ilvl w:val="0"/>
          <w:numId w:val="19"/>
        </w:numPr>
      </w:pPr>
      <w:r>
        <w:t xml:space="preserve">Number of service lines </w:t>
      </w:r>
      <w:r w:rsidR="002500E4">
        <w:t xml:space="preserve">in the system and number </w:t>
      </w:r>
      <w:r>
        <w:t xml:space="preserve">to be impacted by the </w:t>
      </w:r>
      <w:proofErr w:type="gramStart"/>
      <w:r>
        <w:t>project</w:t>
      </w:r>
      <w:proofErr w:type="gramEnd"/>
    </w:p>
    <w:p w14:paraId="4A2DAF77" w14:textId="382BAC8C" w:rsidR="002500E4" w:rsidRDefault="002500E4" w:rsidP="00567287">
      <w:pPr>
        <w:pStyle w:val="ListParagraph"/>
        <w:numPr>
          <w:ilvl w:val="0"/>
          <w:numId w:val="19"/>
        </w:numPr>
      </w:pPr>
      <w:r>
        <w:t xml:space="preserve">Population </w:t>
      </w:r>
      <w:proofErr w:type="gramStart"/>
      <w:r>
        <w:t>served</w:t>
      </w:r>
      <w:proofErr w:type="gramEnd"/>
    </w:p>
    <w:p w14:paraId="7E8745D5" w14:textId="4A8DD6ED" w:rsidR="002500E4" w:rsidRDefault="002500E4" w:rsidP="00567287">
      <w:pPr>
        <w:pStyle w:val="ListParagraph"/>
        <w:numPr>
          <w:ilvl w:val="0"/>
          <w:numId w:val="19"/>
        </w:numPr>
      </w:pPr>
      <w:r>
        <w:t>Median household income that best represents the service territory</w:t>
      </w:r>
      <w:r w:rsidR="0059274A">
        <w:rPr>
          <w:rStyle w:val="FootnoteReference"/>
        </w:rPr>
        <w:footnoteReference w:id="2"/>
      </w:r>
    </w:p>
    <w:p w14:paraId="2D092CC4" w14:textId="6F933CC2" w:rsidR="000E474A" w:rsidRPr="00834639" w:rsidRDefault="00567287" w:rsidP="000E474A">
      <w:pPr>
        <w:pStyle w:val="ListParagraph"/>
        <w:numPr>
          <w:ilvl w:val="0"/>
          <w:numId w:val="19"/>
        </w:numPr>
        <w:rPr>
          <w:b/>
          <w:bCs/>
        </w:rPr>
      </w:pPr>
      <w:r w:rsidRPr="00834639">
        <w:rPr>
          <w:b/>
          <w:bCs/>
        </w:rPr>
        <w:t>Scope of work</w:t>
      </w:r>
      <w:bookmarkStart w:id="26" w:name="_Hlk127287995"/>
      <w:r w:rsidR="00834639" w:rsidRPr="00834639">
        <w:rPr>
          <w:b/>
          <w:bCs/>
        </w:rPr>
        <w:t>- Type I</w:t>
      </w:r>
    </w:p>
    <w:p w14:paraId="2231374B" w14:textId="3540C04D" w:rsidR="000E474A" w:rsidRPr="000E474A" w:rsidRDefault="0059274A" w:rsidP="000E474A">
      <w:pPr>
        <w:pStyle w:val="ListParagraph"/>
        <w:numPr>
          <w:ilvl w:val="1"/>
          <w:numId w:val="19"/>
        </w:numPr>
      </w:pPr>
      <w:bookmarkStart w:id="27" w:name="_Hlk129192902"/>
      <w:r>
        <w:rPr>
          <w:rFonts w:eastAsia="Times New Roman" w:cstheme="minorHAnsi"/>
        </w:rPr>
        <w:t>D</w:t>
      </w:r>
      <w:r w:rsidR="00567287" w:rsidRPr="000E474A">
        <w:rPr>
          <w:rFonts w:eastAsia="Times New Roman" w:cstheme="minorHAnsi"/>
        </w:rPr>
        <w:t xml:space="preserve">ata </w:t>
      </w:r>
      <w:r>
        <w:rPr>
          <w:rFonts w:eastAsia="Times New Roman" w:cstheme="minorHAnsi"/>
        </w:rPr>
        <w:t xml:space="preserve">to </w:t>
      </w:r>
      <w:r w:rsidR="00567287" w:rsidRPr="000E474A">
        <w:rPr>
          <w:rFonts w:eastAsia="Times New Roman" w:cstheme="minorHAnsi"/>
        </w:rPr>
        <w:t xml:space="preserve">be evaluated for the inventory project (i.e., tap cards, billing system data, customer surveys, tax parcel information, etc.) </w:t>
      </w:r>
    </w:p>
    <w:p w14:paraId="2E034FE2" w14:textId="660C533E" w:rsidR="00567287" w:rsidRPr="000E474A" w:rsidRDefault="0059274A" w:rsidP="000E474A">
      <w:pPr>
        <w:pStyle w:val="ListParagraph"/>
        <w:numPr>
          <w:ilvl w:val="1"/>
          <w:numId w:val="19"/>
        </w:numPr>
        <w:spacing w:after="0"/>
      </w:pPr>
      <w:r>
        <w:rPr>
          <w:rFonts w:eastAsia="Times New Roman" w:cstheme="minorHAnsi"/>
        </w:rPr>
        <w:t>G</w:t>
      </w:r>
      <w:r w:rsidR="00567287" w:rsidRPr="000E474A">
        <w:rPr>
          <w:rFonts w:eastAsia="Times New Roman" w:cstheme="minorHAnsi"/>
        </w:rPr>
        <w:t xml:space="preserve">eographic areas </w:t>
      </w:r>
      <w:r>
        <w:rPr>
          <w:rFonts w:eastAsia="Times New Roman" w:cstheme="minorHAnsi"/>
        </w:rPr>
        <w:t>included</w:t>
      </w:r>
      <w:r w:rsidR="00567287" w:rsidRPr="000E474A">
        <w:rPr>
          <w:rFonts w:eastAsia="Times New Roman" w:cstheme="minorHAnsi"/>
        </w:rPr>
        <w:t xml:space="preserve"> the inventory </w:t>
      </w:r>
      <w:proofErr w:type="gramStart"/>
      <w:r w:rsidR="00567287" w:rsidRPr="000E474A">
        <w:rPr>
          <w:rFonts w:eastAsia="Times New Roman" w:cstheme="minorHAnsi"/>
        </w:rPr>
        <w:t>project</w:t>
      </w:r>
      <w:proofErr w:type="gramEnd"/>
      <w:r w:rsidR="00567287" w:rsidRPr="000E474A">
        <w:rPr>
          <w:rFonts w:eastAsia="Times New Roman" w:cstheme="minorHAnsi"/>
        </w:rPr>
        <w:t xml:space="preserve"> </w:t>
      </w:r>
    </w:p>
    <w:p w14:paraId="501C54E9" w14:textId="3930402A" w:rsidR="00567287" w:rsidRPr="00254010" w:rsidRDefault="0059274A" w:rsidP="000E474A">
      <w:pPr>
        <w:numPr>
          <w:ilvl w:val="1"/>
          <w:numId w:val="19"/>
        </w:numPr>
        <w:shd w:val="clear" w:color="auto" w:fill="FFFFFF"/>
        <w:spacing w:after="0" w:line="240" w:lineRule="auto"/>
        <w:rPr>
          <w:rFonts w:eastAsia="Times New Roman" w:cstheme="minorHAnsi"/>
        </w:rPr>
      </w:pPr>
      <w:r>
        <w:rPr>
          <w:rFonts w:eastAsia="Times New Roman" w:cstheme="minorHAnsi"/>
        </w:rPr>
        <w:t>M</w:t>
      </w:r>
      <w:r w:rsidR="00567287" w:rsidRPr="00254010">
        <w:rPr>
          <w:rFonts w:eastAsia="Times New Roman" w:cstheme="minorHAnsi"/>
        </w:rPr>
        <w:t>ethods utilize</w:t>
      </w:r>
      <w:r>
        <w:rPr>
          <w:rFonts w:eastAsia="Times New Roman" w:cstheme="minorHAnsi"/>
        </w:rPr>
        <w:t>d</w:t>
      </w:r>
      <w:r w:rsidR="00567287" w:rsidRPr="00254010">
        <w:rPr>
          <w:rFonts w:eastAsia="Times New Roman" w:cstheme="minorHAnsi"/>
        </w:rPr>
        <w:t xml:space="preserve"> to conduct or supplement the </w:t>
      </w:r>
      <w:proofErr w:type="gramStart"/>
      <w:r w:rsidR="00567287" w:rsidRPr="00254010">
        <w:rPr>
          <w:rFonts w:eastAsia="Times New Roman" w:cstheme="minorHAnsi"/>
        </w:rPr>
        <w:t>inventory</w:t>
      </w:r>
      <w:proofErr w:type="gramEnd"/>
    </w:p>
    <w:p w14:paraId="1109D53F" w14:textId="2FC6DB03" w:rsidR="00567287" w:rsidRDefault="0059274A" w:rsidP="000E474A">
      <w:pPr>
        <w:numPr>
          <w:ilvl w:val="1"/>
          <w:numId w:val="19"/>
        </w:numPr>
        <w:shd w:val="clear" w:color="auto" w:fill="FFFFFF"/>
        <w:spacing w:after="0" w:line="240" w:lineRule="auto"/>
        <w:rPr>
          <w:rFonts w:eastAsia="Times New Roman" w:cstheme="minorHAnsi"/>
        </w:rPr>
      </w:pPr>
      <w:r>
        <w:rPr>
          <w:rFonts w:eastAsia="Times New Roman" w:cstheme="minorHAnsi"/>
        </w:rPr>
        <w:t>Project timeline</w:t>
      </w:r>
    </w:p>
    <w:p w14:paraId="163C066A" w14:textId="7B81C91C" w:rsidR="00955405" w:rsidRPr="00254010" w:rsidRDefault="00955405" w:rsidP="000E474A">
      <w:pPr>
        <w:numPr>
          <w:ilvl w:val="1"/>
          <w:numId w:val="19"/>
        </w:numPr>
        <w:shd w:val="clear" w:color="auto" w:fill="FFFFFF"/>
        <w:spacing w:after="0" w:line="240" w:lineRule="auto"/>
        <w:rPr>
          <w:rFonts w:eastAsia="Times New Roman" w:cstheme="minorHAnsi"/>
        </w:rPr>
      </w:pPr>
      <w:r>
        <w:rPr>
          <w:rFonts w:eastAsia="Times New Roman" w:cstheme="minorHAnsi"/>
        </w:rPr>
        <w:t>Description of deliverable</w:t>
      </w:r>
    </w:p>
    <w:bookmarkEnd w:id="26"/>
    <w:bookmarkEnd w:id="27"/>
    <w:p w14:paraId="5C9FEEF2" w14:textId="79A91D9A" w:rsidR="00834639" w:rsidRPr="00834639" w:rsidRDefault="00834639" w:rsidP="00834639">
      <w:pPr>
        <w:pStyle w:val="ListParagraph"/>
        <w:numPr>
          <w:ilvl w:val="0"/>
          <w:numId w:val="19"/>
        </w:numPr>
        <w:rPr>
          <w:b/>
          <w:bCs/>
        </w:rPr>
      </w:pPr>
      <w:r w:rsidRPr="00834639">
        <w:rPr>
          <w:b/>
          <w:bCs/>
        </w:rPr>
        <w:t>Scope of work- Type II</w:t>
      </w:r>
    </w:p>
    <w:p w14:paraId="5ACA336B" w14:textId="77777777" w:rsidR="00834639" w:rsidRDefault="00834639" w:rsidP="00F87153">
      <w:pPr>
        <w:pStyle w:val="ListParagraph"/>
        <w:numPr>
          <w:ilvl w:val="1"/>
          <w:numId w:val="19"/>
        </w:numPr>
        <w:shd w:val="clear" w:color="auto" w:fill="FFFFFF"/>
        <w:spacing w:after="0" w:line="240" w:lineRule="auto"/>
        <w:rPr>
          <w:rFonts w:eastAsia="Times New Roman" w:cstheme="minorHAnsi"/>
        </w:rPr>
      </w:pPr>
      <w:r w:rsidRPr="00834639">
        <w:rPr>
          <w:rFonts w:eastAsia="Times New Roman" w:cstheme="minorHAnsi"/>
        </w:rPr>
        <w:t xml:space="preserve">Project description </w:t>
      </w:r>
    </w:p>
    <w:p w14:paraId="1CA5D319" w14:textId="77777777" w:rsidR="0059274A" w:rsidRDefault="0059274A" w:rsidP="0059274A">
      <w:pPr>
        <w:numPr>
          <w:ilvl w:val="1"/>
          <w:numId w:val="19"/>
        </w:numPr>
        <w:shd w:val="clear" w:color="auto" w:fill="FFFFFF"/>
        <w:spacing w:after="0" w:line="240" w:lineRule="auto"/>
        <w:rPr>
          <w:rFonts w:eastAsia="Times New Roman" w:cstheme="minorHAnsi"/>
        </w:rPr>
      </w:pPr>
      <w:r>
        <w:rPr>
          <w:rFonts w:eastAsia="Times New Roman" w:cstheme="minorHAnsi"/>
        </w:rPr>
        <w:t>Project timeline</w:t>
      </w:r>
    </w:p>
    <w:p w14:paraId="10E84BE5" w14:textId="77777777" w:rsidR="00955405" w:rsidRPr="00254010" w:rsidRDefault="00955405" w:rsidP="00955405">
      <w:pPr>
        <w:numPr>
          <w:ilvl w:val="1"/>
          <w:numId w:val="19"/>
        </w:numPr>
        <w:shd w:val="clear" w:color="auto" w:fill="FFFFFF"/>
        <w:spacing w:after="0" w:line="240" w:lineRule="auto"/>
        <w:rPr>
          <w:rFonts w:eastAsia="Times New Roman" w:cstheme="minorHAnsi"/>
        </w:rPr>
      </w:pPr>
      <w:r>
        <w:rPr>
          <w:rFonts w:eastAsia="Times New Roman" w:cstheme="minorHAnsi"/>
        </w:rPr>
        <w:t>Description of deliverable</w:t>
      </w:r>
    </w:p>
    <w:p w14:paraId="0C1B7B8A" w14:textId="77629C42" w:rsidR="00834639" w:rsidRPr="00834639" w:rsidRDefault="00834639" w:rsidP="00834639">
      <w:pPr>
        <w:pStyle w:val="ListParagraph"/>
        <w:numPr>
          <w:ilvl w:val="0"/>
          <w:numId w:val="19"/>
        </w:numPr>
        <w:spacing w:after="0"/>
        <w:rPr>
          <w:b/>
          <w:bCs/>
        </w:rPr>
      </w:pPr>
      <w:r w:rsidRPr="00834639">
        <w:rPr>
          <w:b/>
          <w:bCs/>
        </w:rPr>
        <w:t>Scope of work – Type III</w:t>
      </w:r>
    </w:p>
    <w:p w14:paraId="155F199A" w14:textId="00AD75A6" w:rsidR="00834639" w:rsidRPr="00254010" w:rsidRDefault="0059274A" w:rsidP="00834639">
      <w:pPr>
        <w:numPr>
          <w:ilvl w:val="1"/>
          <w:numId w:val="19"/>
        </w:numPr>
        <w:shd w:val="clear" w:color="auto" w:fill="FFFFFF"/>
        <w:spacing w:after="0"/>
        <w:rPr>
          <w:rFonts w:eastAsia="Times New Roman" w:cstheme="minorHAnsi"/>
        </w:rPr>
      </w:pPr>
      <w:bookmarkStart w:id="28" w:name="_Hlk129193027"/>
      <w:r>
        <w:rPr>
          <w:rFonts w:eastAsia="Times New Roman" w:cstheme="minorHAnsi"/>
        </w:rPr>
        <w:t>M</w:t>
      </w:r>
      <w:r w:rsidR="00834639" w:rsidRPr="00254010">
        <w:rPr>
          <w:rFonts w:eastAsia="Times New Roman" w:cstheme="minorHAnsi"/>
        </w:rPr>
        <w:t>ethods utilize</w:t>
      </w:r>
      <w:r>
        <w:rPr>
          <w:rFonts w:eastAsia="Times New Roman" w:cstheme="minorHAnsi"/>
        </w:rPr>
        <w:t>d</w:t>
      </w:r>
      <w:r w:rsidR="00834639" w:rsidRPr="00254010">
        <w:rPr>
          <w:rFonts w:eastAsia="Times New Roman" w:cstheme="minorHAnsi"/>
        </w:rPr>
        <w:t xml:space="preserve"> to conduct or supplement the inventory</w:t>
      </w:r>
      <w:r w:rsidR="00834639">
        <w:rPr>
          <w:rFonts w:eastAsia="Times New Roman" w:cstheme="minorHAnsi"/>
        </w:rPr>
        <w:t xml:space="preserve"> (e.g., excavation, vacuum/hydro-excavation, surface testing of service line materials)</w:t>
      </w:r>
    </w:p>
    <w:bookmarkEnd w:id="28"/>
    <w:p w14:paraId="7C65F2D2" w14:textId="46C5E078" w:rsidR="00834639" w:rsidRPr="000E474A" w:rsidRDefault="0059274A" w:rsidP="00834639">
      <w:pPr>
        <w:pStyle w:val="ListParagraph"/>
        <w:numPr>
          <w:ilvl w:val="1"/>
          <w:numId w:val="19"/>
        </w:numPr>
        <w:spacing w:after="0"/>
      </w:pPr>
      <w:r>
        <w:rPr>
          <w:rFonts w:eastAsia="Times New Roman" w:cstheme="minorHAnsi"/>
        </w:rPr>
        <w:t>G</w:t>
      </w:r>
      <w:r w:rsidR="00834639" w:rsidRPr="000E474A">
        <w:rPr>
          <w:rFonts w:eastAsia="Times New Roman" w:cstheme="minorHAnsi"/>
        </w:rPr>
        <w:t xml:space="preserve">eographic areas </w:t>
      </w:r>
      <w:r>
        <w:rPr>
          <w:rFonts w:eastAsia="Times New Roman" w:cstheme="minorHAnsi"/>
        </w:rPr>
        <w:t xml:space="preserve">included in </w:t>
      </w:r>
      <w:r w:rsidR="00834639" w:rsidRPr="000E474A">
        <w:rPr>
          <w:rFonts w:eastAsia="Times New Roman" w:cstheme="minorHAnsi"/>
        </w:rPr>
        <w:t xml:space="preserve">the inventory </w:t>
      </w:r>
      <w:proofErr w:type="gramStart"/>
      <w:r w:rsidR="00834639" w:rsidRPr="000E474A">
        <w:rPr>
          <w:rFonts w:eastAsia="Times New Roman" w:cstheme="minorHAnsi"/>
        </w:rPr>
        <w:t>project</w:t>
      </w:r>
      <w:proofErr w:type="gramEnd"/>
      <w:r w:rsidR="00834639" w:rsidRPr="000E474A">
        <w:rPr>
          <w:rFonts w:eastAsia="Times New Roman" w:cstheme="minorHAnsi"/>
        </w:rPr>
        <w:t xml:space="preserve"> </w:t>
      </w:r>
    </w:p>
    <w:p w14:paraId="6E21663C" w14:textId="50F41590" w:rsidR="00834639" w:rsidRDefault="0059274A" w:rsidP="00834639">
      <w:pPr>
        <w:numPr>
          <w:ilvl w:val="1"/>
          <w:numId w:val="19"/>
        </w:numPr>
        <w:shd w:val="clear" w:color="auto" w:fill="FFFFFF"/>
        <w:spacing w:after="0"/>
        <w:rPr>
          <w:rFonts w:eastAsia="Times New Roman" w:cstheme="minorHAnsi"/>
        </w:rPr>
      </w:pPr>
      <w:r>
        <w:rPr>
          <w:rFonts w:eastAsia="Times New Roman" w:cstheme="minorHAnsi"/>
        </w:rPr>
        <w:t>M</w:t>
      </w:r>
      <w:r w:rsidR="00834639" w:rsidRPr="00254010">
        <w:rPr>
          <w:rFonts w:eastAsia="Times New Roman" w:cstheme="minorHAnsi"/>
        </w:rPr>
        <w:t xml:space="preserve">ethods </w:t>
      </w:r>
      <w:r>
        <w:rPr>
          <w:rFonts w:eastAsia="Times New Roman" w:cstheme="minorHAnsi"/>
        </w:rPr>
        <w:t>utilized t</w:t>
      </w:r>
      <w:r w:rsidR="00834639" w:rsidRPr="00254010">
        <w:rPr>
          <w:rFonts w:eastAsia="Times New Roman" w:cstheme="minorHAnsi"/>
        </w:rPr>
        <w:t xml:space="preserve">o conduct the initial </w:t>
      </w:r>
      <w:proofErr w:type="gramStart"/>
      <w:r w:rsidR="00834639" w:rsidRPr="00254010">
        <w:rPr>
          <w:rFonts w:eastAsia="Times New Roman" w:cstheme="minorHAnsi"/>
        </w:rPr>
        <w:t>inventory</w:t>
      </w:r>
      <w:proofErr w:type="gramEnd"/>
    </w:p>
    <w:p w14:paraId="20A0209A" w14:textId="77777777" w:rsidR="0059274A" w:rsidRDefault="0059274A" w:rsidP="0059274A">
      <w:pPr>
        <w:numPr>
          <w:ilvl w:val="1"/>
          <w:numId w:val="19"/>
        </w:numPr>
        <w:shd w:val="clear" w:color="auto" w:fill="FFFFFF"/>
        <w:spacing w:after="0" w:line="240" w:lineRule="auto"/>
        <w:rPr>
          <w:rFonts w:eastAsia="Times New Roman" w:cstheme="minorHAnsi"/>
        </w:rPr>
      </w:pPr>
      <w:r>
        <w:rPr>
          <w:rFonts w:eastAsia="Times New Roman" w:cstheme="minorHAnsi"/>
        </w:rPr>
        <w:t>Project timeline</w:t>
      </w:r>
    </w:p>
    <w:p w14:paraId="3F1C5384" w14:textId="77777777" w:rsidR="00955405" w:rsidRPr="00254010" w:rsidRDefault="00955405" w:rsidP="00955405">
      <w:pPr>
        <w:numPr>
          <w:ilvl w:val="1"/>
          <w:numId w:val="19"/>
        </w:numPr>
        <w:shd w:val="clear" w:color="auto" w:fill="FFFFFF"/>
        <w:spacing w:after="0" w:line="240" w:lineRule="auto"/>
        <w:rPr>
          <w:rFonts w:eastAsia="Times New Roman" w:cstheme="minorHAnsi"/>
        </w:rPr>
      </w:pPr>
      <w:r>
        <w:rPr>
          <w:rFonts w:eastAsia="Times New Roman" w:cstheme="minorHAnsi"/>
        </w:rPr>
        <w:t>Description of deliverable</w:t>
      </w:r>
    </w:p>
    <w:p w14:paraId="042A83AA" w14:textId="1CEC7043" w:rsidR="00567287" w:rsidRDefault="00C37B5E" w:rsidP="00FA0EBB">
      <w:pPr>
        <w:pStyle w:val="ListParagraph"/>
        <w:numPr>
          <w:ilvl w:val="0"/>
          <w:numId w:val="19"/>
        </w:numPr>
      </w:pPr>
      <w:r>
        <w:t xml:space="preserve">Funding amount requested </w:t>
      </w:r>
      <w:r w:rsidR="009C6944">
        <w:t>per</w:t>
      </w:r>
      <w:r w:rsidR="00567287">
        <w:t xml:space="preserve"> Table 1</w:t>
      </w:r>
    </w:p>
    <w:p w14:paraId="1F647197" w14:textId="77777777" w:rsidR="00246D2B" w:rsidRDefault="00246D2B" w:rsidP="00246D2B">
      <w:pPr>
        <w:shd w:val="clear" w:color="auto" w:fill="FFFFFF"/>
        <w:rPr>
          <w:highlight w:val="yellow"/>
        </w:rPr>
      </w:pPr>
      <w:bookmarkStart w:id="29" w:name="_Application_Process_for"/>
      <w:bookmarkStart w:id="30" w:name="_Section_5:_Application"/>
      <w:bookmarkEnd w:id="29"/>
      <w:bookmarkEnd w:id="30"/>
      <w:bookmarkEnd w:id="25"/>
    </w:p>
    <w:p w14:paraId="60BF72BA" w14:textId="5CC1F1E5" w:rsidR="00FE4FD9" w:rsidRDefault="00834639" w:rsidP="00246D2B">
      <w:pPr>
        <w:shd w:val="clear" w:color="auto" w:fill="FFFFFF"/>
      </w:pPr>
      <w:r w:rsidRPr="009C6944">
        <w:rPr>
          <w:highlight w:val="yellow"/>
        </w:rPr>
        <w:t xml:space="preserve">Additional items needed </w:t>
      </w:r>
      <w:r w:rsidR="00C37B5E">
        <w:rPr>
          <w:highlight w:val="yellow"/>
        </w:rPr>
        <w:t>for</w:t>
      </w:r>
      <w:r w:rsidRPr="009C6944">
        <w:rPr>
          <w:highlight w:val="yellow"/>
        </w:rPr>
        <w:t xml:space="preserve"> </w:t>
      </w:r>
      <w:r w:rsidRPr="006816E6">
        <w:rPr>
          <w:highlight w:val="yellow"/>
          <w:u w:val="single"/>
        </w:rPr>
        <w:t>Competitively Funded</w:t>
      </w:r>
      <w:r w:rsidRPr="009C6944">
        <w:rPr>
          <w:highlight w:val="yellow"/>
        </w:rPr>
        <w:t xml:space="preserve"> projects:</w:t>
      </w:r>
      <w:r>
        <w:t xml:space="preserve"> </w:t>
      </w:r>
    </w:p>
    <w:p w14:paraId="383E44C6" w14:textId="518BF7FB" w:rsidR="006E5C5E" w:rsidRDefault="006E5C5E" w:rsidP="00CA0276">
      <w:pPr>
        <w:pStyle w:val="ListParagraph"/>
        <w:numPr>
          <w:ilvl w:val="0"/>
          <w:numId w:val="19"/>
        </w:numPr>
        <w:spacing w:after="0"/>
      </w:pPr>
      <w:r>
        <w:t xml:space="preserve">Project Costs </w:t>
      </w:r>
    </w:p>
    <w:p w14:paraId="71756C5C" w14:textId="77777777" w:rsidR="006E5C5E" w:rsidRDefault="006E5C5E" w:rsidP="00CA0276">
      <w:pPr>
        <w:pStyle w:val="ListParagraph"/>
        <w:numPr>
          <w:ilvl w:val="1"/>
          <w:numId w:val="19"/>
        </w:numPr>
        <w:spacing w:after="0"/>
      </w:pPr>
      <w:r>
        <w:t>Total project cost</w:t>
      </w:r>
    </w:p>
    <w:p w14:paraId="496EFB2A" w14:textId="31E84F95" w:rsidR="006E5C5E" w:rsidRDefault="006E5C5E" w:rsidP="00CA0276">
      <w:pPr>
        <w:pStyle w:val="ListParagraph"/>
        <w:numPr>
          <w:ilvl w:val="1"/>
          <w:numId w:val="19"/>
        </w:numPr>
        <w:spacing w:after="0"/>
      </w:pPr>
      <w:r>
        <w:t>Engineering cost</w:t>
      </w:r>
    </w:p>
    <w:p w14:paraId="04A35F12" w14:textId="3841E790" w:rsidR="006E5C5E" w:rsidRDefault="006E5C5E" w:rsidP="00CA0276">
      <w:pPr>
        <w:pStyle w:val="ListParagraph"/>
        <w:numPr>
          <w:ilvl w:val="1"/>
          <w:numId w:val="19"/>
        </w:numPr>
        <w:spacing w:after="0"/>
      </w:pPr>
      <w:r>
        <w:t>Materials cost</w:t>
      </w:r>
    </w:p>
    <w:p w14:paraId="575DEAC8" w14:textId="602D5648" w:rsidR="004E25EB" w:rsidRDefault="009C6944" w:rsidP="00CA0276">
      <w:pPr>
        <w:pStyle w:val="ListParagraph"/>
        <w:numPr>
          <w:ilvl w:val="1"/>
          <w:numId w:val="19"/>
        </w:numPr>
        <w:spacing w:after="0"/>
      </w:pPr>
      <w:r>
        <w:t xml:space="preserve">Funding </w:t>
      </w:r>
      <w:r w:rsidR="006E5C5E">
        <w:t xml:space="preserve">amount requested </w:t>
      </w:r>
      <w:r>
        <w:t xml:space="preserve">per </w:t>
      </w:r>
      <w:r w:rsidR="006E5C5E">
        <w:t>Table 1</w:t>
      </w:r>
    </w:p>
    <w:p w14:paraId="5B1C1168" w14:textId="2F86339D" w:rsidR="003E6216" w:rsidRPr="00576E8A" w:rsidRDefault="003E6216" w:rsidP="0090728D">
      <w:pPr>
        <w:pStyle w:val="ListParagraph"/>
        <w:numPr>
          <w:ilvl w:val="0"/>
          <w:numId w:val="19"/>
        </w:numPr>
        <w:spacing w:after="0"/>
        <w:rPr>
          <w:highlight w:val="yellow"/>
        </w:rPr>
      </w:pPr>
      <w:r w:rsidRPr="00576E8A">
        <w:rPr>
          <w:highlight w:val="yellow"/>
        </w:rPr>
        <w:t>Estimated number of service lines with unknown materials</w:t>
      </w:r>
    </w:p>
    <w:p w14:paraId="4D3EC5BB" w14:textId="6B52DC4B" w:rsidR="003E6216" w:rsidRPr="00576E8A" w:rsidRDefault="003E6216" w:rsidP="0090728D">
      <w:pPr>
        <w:pStyle w:val="ListParagraph"/>
        <w:numPr>
          <w:ilvl w:val="0"/>
          <w:numId w:val="19"/>
        </w:numPr>
        <w:spacing w:after="0"/>
        <w:rPr>
          <w:highlight w:val="yellow"/>
        </w:rPr>
      </w:pPr>
      <w:r w:rsidRPr="00576E8A">
        <w:rPr>
          <w:highlight w:val="yellow"/>
        </w:rPr>
        <w:t>Estimated age of system, which could be the measured by the oldest components in the system or the age of the infrastructure in the project area.</w:t>
      </w:r>
    </w:p>
    <w:p w14:paraId="61D59179" w14:textId="30B98C77" w:rsidR="0090728D" w:rsidRPr="00576E8A" w:rsidRDefault="0090728D" w:rsidP="0090728D">
      <w:pPr>
        <w:pStyle w:val="ListParagraph"/>
        <w:numPr>
          <w:ilvl w:val="0"/>
          <w:numId w:val="19"/>
        </w:numPr>
        <w:spacing w:after="0"/>
        <w:rPr>
          <w:highlight w:val="yellow"/>
        </w:rPr>
      </w:pPr>
      <w:r w:rsidRPr="00576E8A">
        <w:rPr>
          <w:highlight w:val="yellow"/>
        </w:rPr>
        <w:t xml:space="preserve">Description of prioritization of work, if applicable. For instance, </w:t>
      </w:r>
      <w:r w:rsidR="009A79F2">
        <w:rPr>
          <w:highlight w:val="yellow"/>
        </w:rPr>
        <w:t xml:space="preserve">did the utility prioritize doing work in </w:t>
      </w:r>
      <w:r w:rsidRPr="00576E8A">
        <w:rPr>
          <w:highlight w:val="yellow"/>
        </w:rPr>
        <w:t>“Disadvantaged</w:t>
      </w:r>
      <w:r w:rsidR="00A3226D" w:rsidRPr="00576E8A">
        <w:rPr>
          <w:rStyle w:val="FootnoteReference"/>
          <w:highlight w:val="yellow"/>
        </w:rPr>
        <w:footnoteReference w:id="3"/>
      </w:r>
      <w:r w:rsidRPr="00576E8A">
        <w:rPr>
          <w:highlight w:val="yellow"/>
        </w:rPr>
        <w:t xml:space="preserve">” </w:t>
      </w:r>
      <w:r w:rsidR="00A3226D" w:rsidRPr="00576E8A">
        <w:rPr>
          <w:highlight w:val="yellow"/>
        </w:rPr>
        <w:t>a</w:t>
      </w:r>
      <w:r w:rsidRPr="00576E8A">
        <w:rPr>
          <w:highlight w:val="yellow"/>
        </w:rPr>
        <w:t xml:space="preserve">reas? </w:t>
      </w:r>
      <w:r w:rsidR="009A79F2">
        <w:rPr>
          <w:highlight w:val="yellow"/>
        </w:rPr>
        <w:t>Provide details.</w:t>
      </w:r>
    </w:p>
    <w:p w14:paraId="1875EA85" w14:textId="6588CF4C" w:rsidR="0090728D" w:rsidRPr="00576E8A" w:rsidRDefault="0090728D" w:rsidP="0090728D">
      <w:pPr>
        <w:pStyle w:val="ListParagraph"/>
        <w:numPr>
          <w:ilvl w:val="0"/>
          <w:numId w:val="19"/>
        </w:numPr>
        <w:spacing w:after="0"/>
        <w:rPr>
          <w:highlight w:val="yellow"/>
        </w:rPr>
      </w:pPr>
      <w:r w:rsidRPr="00576E8A">
        <w:rPr>
          <w:highlight w:val="yellow"/>
        </w:rPr>
        <w:lastRenderedPageBreak/>
        <w:t xml:space="preserve">Description of work already completed. For example, </w:t>
      </w:r>
      <w:r w:rsidR="00C37B5E">
        <w:rPr>
          <w:highlight w:val="yellow"/>
        </w:rPr>
        <w:t xml:space="preserve">if </w:t>
      </w:r>
      <w:r w:rsidRPr="00576E8A">
        <w:rPr>
          <w:highlight w:val="yellow"/>
        </w:rPr>
        <w:t xml:space="preserve">a utility </w:t>
      </w:r>
      <w:r w:rsidR="003E6216" w:rsidRPr="00576E8A">
        <w:rPr>
          <w:highlight w:val="yellow"/>
        </w:rPr>
        <w:t>is requesting validation assistance</w:t>
      </w:r>
      <w:r w:rsidR="00C37B5E">
        <w:rPr>
          <w:highlight w:val="yellow"/>
        </w:rPr>
        <w:t>, p</w:t>
      </w:r>
      <w:r w:rsidR="003E6216" w:rsidRPr="00576E8A">
        <w:rPr>
          <w:highlight w:val="yellow"/>
        </w:rPr>
        <w:t xml:space="preserve">roject description details the work already </w:t>
      </w:r>
      <w:r w:rsidR="00C37B5E">
        <w:rPr>
          <w:highlight w:val="yellow"/>
        </w:rPr>
        <w:t>completed</w:t>
      </w:r>
      <w:r w:rsidR="003E6216" w:rsidRPr="00576E8A">
        <w:rPr>
          <w:highlight w:val="yellow"/>
        </w:rPr>
        <w:t xml:space="preserve"> which </w:t>
      </w:r>
      <w:r w:rsidR="00C37B5E">
        <w:rPr>
          <w:highlight w:val="yellow"/>
        </w:rPr>
        <w:t xml:space="preserve">may </w:t>
      </w:r>
      <w:r w:rsidR="003E6216" w:rsidRPr="00576E8A">
        <w:rPr>
          <w:highlight w:val="yellow"/>
        </w:rPr>
        <w:t xml:space="preserve">include </w:t>
      </w:r>
      <w:r w:rsidR="009A79F2">
        <w:rPr>
          <w:highlight w:val="yellow"/>
        </w:rPr>
        <w:t xml:space="preserve">customer </w:t>
      </w:r>
      <w:r w:rsidRPr="00576E8A">
        <w:rPr>
          <w:highlight w:val="yellow"/>
        </w:rPr>
        <w:t xml:space="preserve">mailers, </w:t>
      </w:r>
      <w:r w:rsidR="003E6216" w:rsidRPr="00576E8A">
        <w:rPr>
          <w:highlight w:val="yellow"/>
        </w:rPr>
        <w:t>property data</w:t>
      </w:r>
      <w:r w:rsidR="009A79F2">
        <w:rPr>
          <w:highlight w:val="yellow"/>
        </w:rPr>
        <w:t>,</w:t>
      </w:r>
      <w:r w:rsidR="003E6216" w:rsidRPr="00576E8A">
        <w:rPr>
          <w:highlight w:val="yellow"/>
        </w:rPr>
        <w:t xml:space="preserve"> and record</w:t>
      </w:r>
      <w:r w:rsidR="009A79F2">
        <w:rPr>
          <w:highlight w:val="yellow"/>
        </w:rPr>
        <w:t xml:space="preserve"> </w:t>
      </w:r>
      <w:r w:rsidR="003E6216" w:rsidRPr="00576E8A">
        <w:rPr>
          <w:highlight w:val="yellow"/>
        </w:rPr>
        <w:t>s</w:t>
      </w:r>
      <w:r w:rsidR="009A79F2">
        <w:rPr>
          <w:highlight w:val="yellow"/>
        </w:rPr>
        <w:t>earches</w:t>
      </w:r>
      <w:r w:rsidR="003E6216" w:rsidRPr="00576E8A">
        <w:rPr>
          <w:highlight w:val="yellow"/>
        </w:rPr>
        <w:t xml:space="preserve"> to narrow down the areas with unknown service line materials. </w:t>
      </w:r>
    </w:p>
    <w:p w14:paraId="12E3706E" w14:textId="77CCA1EC" w:rsidR="003E6216" w:rsidRDefault="003E6216" w:rsidP="0090728D">
      <w:pPr>
        <w:pStyle w:val="ListParagraph"/>
        <w:numPr>
          <w:ilvl w:val="0"/>
          <w:numId w:val="19"/>
        </w:numPr>
        <w:spacing w:after="0"/>
        <w:rPr>
          <w:highlight w:val="yellow"/>
        </w:rPr>
      </w:pPr>
      <w:r w:rsidRPr="00576E8A">
        <w:rPr>
          <w:highlight w:val="yellow"/>
        </w:rPr>
        <w:t xml:space="preserve">Description of the work that is still needed beyond what </w:t>
      </w:r>
      <w:r w:rsidR="00C37B5E">
        <w:rPr>
          <w:highlight w:val="yellow"/>
        </w:rPr>
        <w:t>is being accomplished with th</w:t>
      </w:r>
      <w:r w:rsidR="009A79F2">
        <w:rPr>
          <w:highlight w:val="yellow"/>
        </w:rPr>
        <w:t>is funding</w:t>
      </w:r>
      <w:r w:rsidR="00C37B5E">
        <w:rPr>
          <w:highlight w:val="yellow"/>
        </w:rPr>
        <w:t xml:space="preserve">, </w:t>
      </w:r>
      <w:r w:rsidRPr="00576E8A">
        <w:rPr>
          <w:highlight w:val="yellow"/>
        </w:rPr>
        <w:t>if applicable. For instance, “this project will cover about 50% of our entire need</w:t>
      </w:r>
      <w:r w:rsidR="009A79F2">
        <w:rPr>
          <w:highlight w:val="yellow"/>
        </w:rPr>
        <w:t>. We still have $500,000 worth of work to do.”</w:t>
      </w:r>
    </w:p>
    <w:p w14:paraId="5746B9BC" w14:textId="01F79D48" w:rsidR="00977E9B" w:rsidRPr="000B54B8" w:rsidRDefault="00977E9B" w:rsidP="0090728D">
      <w:pPr>
        <w:pStyle w:val="ListParagraph"/>
        <w:numPr>
          <w:ilvl w:val="0"/>
          <w:numId w:val="19"/>
        </w:numPr>
        <w:spacing w:after="0"/>
      </w:pPr>
      <w:r w:rsidRPr="000B54B8">
        <w:t>Compliance with the IFA Water Audit and Regional Meeting requirements</w:t>
      </w:r>
    </w:p>
    <w:p w14:paraId="5AAEEE6B" w14:textId="5CC92811" w:rsidR="004E25EB" w:rsidRDefault="004E25EB" w:rsidP="00CA0276">
      <w:pPr>
        <w:spacing w:after="0"/>
      </w:pPr>
    </w:p>
    <w:p w14:paraId="1A5996A2" w14:textId="758BAAE9" w:rsidR="00FD3623" w:rsidRPr="005A4CDF" w:rsidRDefault="000D6A11" w:rsidP="00983D13">
      <w:pPr>
        <w:pStyle w:val="Heading1"/>
      </w:pPr>
      <w:bookmarkStart w:id="31" w:name="_Applying_for_credit"/>
      <w:bookmarkStart w:id="32" w:name="_Section_6:_Disbursements"/>
      <w:bookmarkEnd w:id="31"/>
      <w:bookmarkEnd w:id="32"/>
      <w:r w:rsidRPr="005A4CDF">
        <w:t xml:space="preserve">Section </w:t>
      </w:r>
      <w:r w:rsidR="00576E8A">
        <w:t>5</w:t>
      </w:r>
      <w:r w:rsidRPr="005A4CDF">
        <w:t xml:space="preserve">: </w:t>
      </w:r>
      <w:r w:rsidR="00FD3623" w:rsidRPr="005A4CDF">
        <w:t>Disbursements</w:t>
      </w:r>
    </w:p>
    <w:p w14:paraId="1E91847D" w14:textId="77777777" w:rsidR="005A4CDF" w:rsidRDefault="005A4CDF" w:rsidP="00CA0276">
      <w:pPr>
        <w:spacing w:after="0"/>
      </w:pPr>
    </w:p>
    <w:p w14:paraId="35639F91" w14:textId="0F414748" w:rsidR="00EA5A61" w:rsidRPr="00EA5A61" w:rsidRDefault="00EA5A61" w:rsidP="00CA0276">
      <w:pPr>
        <w:spacing w:after="0"/>
      </w:pPr>
      <w:r w:rsidRPr="00EA5A61">
        <w:t xml:space="preserve">All disbursements require the submittal of a disbursement request form. </w:t>
      </w:r>
    </w:p>
    <w:p w14:paraId="05EA796F" w14:textId="77777777" w:rsidR="00EA5A61" w:rsidRDefault="00EA5A61" w:rsidP="00CA0276">
      <w:pPr>
        <w:spacing w:after="0"/>
        <w:rPr>
          <w:u w:val="single"/>
        </w:rPr>
      </w:pPr>
    </w:p>
    <w:p w14:paraId="3AC83BB9" w14:textId="23956580" w:rsidR="0087581E" w:rsidRPr="0076741F" w:rsidRDefault="00834639" w:rsidP="00CA0276">
      <w:pPr>
        <w:spacing w:after="0"/>
      </w:pPr>
      <w:r w:rsidRPr="00D567C4">
        <w:rPr>
          <w:u w:val="single"/>
        </w:rPr>
        <w:t>Noncompetitively funded</w:t>
      </w:r>
      <w:r w:rsidR="00FD3623" w:rsidRPr="0076741F">
        <w:t xml:space="preserve"> project disbursement</w:t>
      </w:r>
      <w:r w:rsidR="00983D13" w:rsidRPr="0076741F">
        <w:t>s will be</w:t>
      </w:r>
      <w:r w:rsidR="0087581E" w:rsidRPr="0076741F">
        <w:t xml:space="preserve"> made directly to the </w:t>
      </w:r>
      <w:r w:rsidR="000D6A11" w:rsidRPr="0076741F">
        <w:t>Service Provider</w:t>
      </w:r>
      <w:r w:rsidR="00983D13" w:rsidRPr="0076741F">
        <w:t xml:space="preserve"> </w:t>
      </w:r>
      <w:r w:rsidR="002257C5" w:rsidRPr="0076741F">
        <w:t>on</w:t>
      </w:r>
      <w:r w:rsidR="00983D13" w:rsidRPr="0076741F">
        <w:t xml:space="preserve"> this</w:t>
      </w:r>
      <w:r w:rsidR="0087581E" w:rsidRPr="0076741F">
        <w:t xml:space="preserve"> </w:t>
      </w:r>
      <w:r w:rsidR="00983D13" w:rsidRPr="0076741F">
        <w:t>schedule:</w:t>
      </w:r>
    </w:p>
    <w:p w14:paraId="4F7DBD17" w14:textId="4CD82013" w:rsidR="0087581E" w:rsidRPr="0076741F" w:rsidRDefault="00EA5A61" w:rsidP="00EA5A61">
      <w:pPr>
        <w:pStyle w:val="ListParagraph"/>
        <w:numPr>
          <w:ilvl w:val="0"/>
          <w:numId w:val="20"/>
        </w:numPr>
        <w:spacing w:after="0"/>
      </w:pPr>
      <w:r>
        <w:t>At the t</w:t>
      </w:r>
      <w:r w:rsidR="0087581E" w:rsidRPr="0076741F">
        <w:t xml:space="preserve">ime of </w:t>
      </w:r>
      <w:r w:rsidR="0076741F" w:rsidRPr="0076741F">
        <w:t xml:space="preserve">professional services </w:t>
      </w:r>
      <w:r w:rsidR="00983D13" w:rsidRPr="0076741F">
        <w:t xml:space="preserve">agreement </w:t>
      </w:r>
      <w:r w:rsidR="0087581E" w:rsidRPr="0076741F">
        <w:t>execution</w:t>
      </w:r>
      <w:r w:rsidR="00983D13" w:rsidRPr="0076741F">
        <w:t>,</w:t>
      </w:r>
      <w:r>
        <w:t xml:space="preserve"> </w:t>
      </w:r>
      <w:r w:rsidR="00983D13" w:rsidRPr="0076741F">
        <w:t>50% of project cost</w:t>
      </w:r>
      <w:r w:rsidR="007A15F0">
        <w:t xml:space="preserve"> may </w:t>
      </w:r>
      <w:r w:rsidR="00983D13" w:rsidRPr="0076741F">
        <w:t xml:space="preserve">be advanced to the </w:t>
      </w:r>
      <w:r w:rsidR="000D6A11" w:rsidRPr="0076741F">
        <w:t xml:space="preserve">Service </w:t>
      </w:r>
      <w:r w:rsidRPr="0076741F">
        <w:t>Provider</w:t>
      </w:r>
      <w:r>
        <w:t>.</w:t>
      </w:r>
    </w:p>
    <w:p w14:paraId="5A715801" w14:textId="05086BEA" w:rsidR="002257C5" w:rsidRPr="0076741F" w:rsidRDefault="00EA5A61" w:rsidP="00EA5A61">
      <w:pPr>
        <w:pStyle w:val="ListParagraph"/>
        <w:numPr>
          <w:ilvl w:val="0"/>
          <w:numId w:val="20"/>
        </w:numPr>
        <w:spacing w:after="0"/>
      </w:pPr>
      <w:r>
        <w:t>Upon c</w:t>
      </w:r>
      <w:r w:rsidR="002257C5" w:rsidRPr="0076741F">
        <w:t>ompletion of work,</w:t>
      </w:r>
      <w:r>
        <w:t xml:space="preserve"> </w:t>
      </w:r>
      <w:r w:rsidR="00983D13" w:rsidRPr="0076741F">
        <w:t xml:space="preserve">100% of project cost </w:t>
      </w:r>
      <w:r>
        <w:t xml:space="preserve">may </w:t>
      </w:r>
      <w:r w:rsidR="00983D13" w:rsidRPr="0076741F">
        <w:t>be disbursed</w:t>
      </w:r>
      <w:r w:rsidR="002257C5" w:rsidRPr="0076741F">
        <w:t xml:space="preserve"> </w:t>
      </w:r>
      <w:r>
        <w:t>to Service Provider. In addition to the disbursement request, a</w:t>
      </w:r>
      <w:r w:rsidR="002257C5" w:rsidRPr="0076741F">
        <w:t xml:space="preserve"> detailed invoice</w:t>
      </w:r>
      <w:r w:rsidR="0076741F" w:rsidRPr="0076741F">
        <w:t xml:space="preserve"> reflecting 100% of the costs of the project</w:t>
      </w:r>
      <w:r w:rsidR="00834639">
        <w:t xml:space="preserve"> and Project Completion Form signed by utility</w:t>
      </w:r>
      <w:r>
        <w:t xml:space="preserve"> must also be submitted</w:t>
      </w:r>
      <w:r w:rsidR="00834639">
        <w:t>.</w:t>
      </w:r>
    </w:p>
    <w:p w14:paraId="35385B3A" w14:textId="77777777" w:rsidR="002257C5" w:rsidRPr="0076741F" w:rsidRDefault="002257C5" w:rsidP="002257C5">
      <w:pPr>
        <w:spacing w:after="0"/>
      </w:pPr>
    </w:p>
    <w:p w14:paraId="7EB19A67" w14:textId="6B4D2A5E" w:rsidR="00834639" w:rsidRDefault="00834639" w:rsidP="00CA0276">
      <w:pPr>
        <w:spacing w:after="0"/>
      </w:pPr>
      <w:bookmarkStart w:id="33" w:name="_Hlk130394208"/>
      <w:r w:rsidRPr="00D567C4">
        <w:rPr>
          <w:u w:val="single"/>
        </w:rPr>
        <w:t>Competitively funded</w:t>
      </w:r>
      <w:r>
        <w:t xml:space="preserve"> project disbursements will be made directly to the Service Provider monthly. Final disbursement require</w:t>
      </w:r>
      <w:r w:rsidR="00EA5A61">
        <w:t>s</w:t>
      </w:r>
      <w:r>
        <w:t xml:space="preserve"> a Project Completion Form signed by utility.</w:t>
      </w:r>
    </w:p>
    <w:p w14:paraId="686F512D" w14:textId="77777777" w:rsidR="00834639" w:rsidRDefault="00834639" w:rsidP="00CA0276">
      <w:pPr>
        <w:spacing w:after="0"/>
      </w:pPr>
    </w:p>
    <w:bookmarkEnd w:id="33"/>
    <w:p w14:paraId="1D8C22F5" w14:textId="23EC40FF" w:rsidR="004A21FB" w:rsidRPr="005A4CDF" w:rsidRDefault="004A21FB" w:rsidP="00CA0276">
      <w:pPr>
        <w:spacing w:after="0"/>
        <w:rPr>
          <w:sz w:val="32"/>
          <w:szCs w:val="32"/>
        </w:rPr>
      </w:pPr>
    </w:p>
    <w:p w14:paraId="4CF3B85B" w14:textId="77777777" w:rsidR="00CA0276" w:rsidRDefault="00CA0276">
      <w:pPr>
        <w:rPr>
          <w:rFonts w:asciiTheme="majorHAnsi" w:eastAsiaTheme="majorEastAsia" w:hAnsiTheme="majorHAnsi" w:cstheme="majorBidi"/>
          <w:color w:val="2F5496" w:themeColor="accent1" w:themeShade="BF"/>
          <w:sz w:val="32"/>
          <w:szCs w:val="32"/>
        </w:rPr>
      </w:pPr>
      <w:bookmarkStart w:id="34" w:name="_Section_7:_Scoring"/>
      <w:bookmarkEnd w:id="34"/>
      <w:r>
        <w:br w:type="page"/>
      </w:r>
    </w:p>
    <w:p w14:paraId="1FEC1551" w14:textId="02FF17B5" w:rsidR="00B2578B" w:rsidRPr="005A4CDF" w:rsidRDefault="00B2578B" w:rsidP="005B7E87">
      <w:pPr>
        <w:pStyle w:val="Heading1"/>
      </w:pPr>
      <w:bookmarkStart w:id="35" w:name="_Section_7:_Scoring_1"/>
      <w:bookmarkEnd w:id="35"/>
      <w:r w:rsidRPr="005A4CDF">
        <w:lastRenderedPageBreak/>
        <w:t>S</w:t>
      </w:r>
      <w:r w:rsidR="000D6A11" w:rsidRPr="005A4CDF">
        <w:t xml:space="preserve">ection </w:t>
      </w:r>
      <w:r w:rsidR="004E37AE">
        <w:t>6</w:t>
      </w:r>
      <w:r w:rsidR="000D6A11" w:rsidRPr="005A4CDF">
        <w:t>: S</w:t>
      </w:r>
      <w:r w:rsidRPr="005A4CDF">
        <w:t>coring Criteria</w:t>
      </w:r>
    </w:p>
    <w:p w14:paraId="0D79AF6C" w14:textId="77777777" w:rsidR="005A4CDF" w:rsidRDefault="005A4CDF" w:rsidP="005B7E87">
      <w:pPr>
        <w:shd w:val="clear" w:color="auto" w:fill="FFFFFF"/>
        <w:spacing w:after="0" w:line="240" w:lineRule="auto"/>
        <w:rPr>
          <w:rFonts w:eastAsia="Times New Roman" w:cstheme="minorHAnsi"/>
        </w:rPr>
      </w:pPr>
    </w:p>
    <w:p w14:paraId="4BA8A1E7" w14:textId="01D02BB7" w:rsidR="00DC5881" w:rsidRPr="002B6994" w:rsidRDefault="00DC5881" w:rsidP="00DC5881">
      <w:pPr>
        <w:shd w:val="clear" w:color="auto" w:fill="FFFFFF"/>
        <w:spacing w:after="0" w:line="240" w:lineRule="auto"/>
        <w:rPr>
          <w:rFonts w:eastAsia="Times New Roman" w:cstheme="minorHAnsi"/>
        </w:rPr>
      </w:pPr>
      <w:r w:rsidRPr="002B6994">
        <w:rPr>
          <w:rFonts w:eastAsia="Times New Roman" w:cstheme="minorHAnsi"/>
        </w:rPr>
        <w:t xml:space="preserve">IFA </w:t>
      </w:r>
      <w:r w:rsidR="00412FEC">
        <w:rPr>
          <w:rFonts w:eastAsia="Times New Roman" w:cstheme="minorHAnsi"/>
        </w:rPr>
        <w:t xml:space="preserve">may </w:t>
      </w:r>
      <w:r w:rsidRPr="002B6994">
        <w:rPr>
          <w:rFonts w:eastAsia="Times New Roman" w:cstheme="minorHAnsi"/>
        </w:rPr>
        <w:t xml:space="preserve">score </w:t>
      </w:r>
      <w:r w:rsidR="00D567C4">
        <w:rPr>
          <w:rFonts w:eastAsia="Times New Roman" w:cstheme="minorHAnsi"/>
          <w:u w:val="single"/>
        </w:rPr>
        <w:t>C</w:t>
      </w:r>
      <w:r w:rsidR="009C6944" w:rsidRPr="00D567C4">
        <w:rPr>
          <w:rFonts w:eastAsia="Times New Roman" w:cstheme="minorHAnsi"/>
          <w:u w:val="single"/>
        </w:rPr>
        <w:t xml:space="preserve">ompetitively </w:t>
      </w:r>
      <w:r w:rsidR="00D567C4">
        <w:rPr>
          <w:rFonts w:eastAsia="Times New Roman" w:cstheme="minorHAnsi"/>
          <w:u w:val="single"/>
        </w:rPr>
        <w:t>F</w:t>
      </w:r>
      <w:r w:rsidR="009C6944" w:rsidRPr="00D567C4">
        <w:rPr>
          <w:rFonts w:eastAsia="Times New Roman" w:cstheme="minorHAnsi"/>
          <w:u w:val="single"/>
        </w:rPr>
        <w:t>unded</w:t>
      </w:r>
      <w:r w:rsidRPr="002B6994">
        <w:rPr>
          <w:rFonts w:eastAsia="Times New Roman" w:cstheme="minorHAnsi"/>
        </w:rPr>
        <w:t xml:space="preserve"> applications according to the criteria provided in </w:t>
      </w:r>
      <w:r w:rsidRPr="002B6994">
        <w:rPr>
          <w:rFonts w:eastAsia="Times New Roman" w:cstheme="minorHAnsi"/>
          <w:b/>
          <w:bCs/>
        </w:rPr>
        <w:t>Table 3</w:t>
      </w:r>
      <w:r w:rsidRPr="002B6994">
        <w:rPr>
          <w:rFonts w:eastAsia="Times New Roman" w:cstheme="minorHAnsi"/>
        </w:rPr>
        <w:t xml:space="preserve">. </w:t>
      </w:r>
      <w:r w:rsidR="002B6994" w:rsidRPr="002B6994">
        <w:rPr>
          <w:rFonts w:eastAsia="Times New Roman" w:cstheme="minorHAnsi"/>
        </w:rPr>
        <w:t>Project approval is dependent on satisfactory submission of all application documents.</w:t>
      </w:r>
    </w:p>
    <w:p w14:paraId="1F57F7AE" w14:textId="77777777" w:rsidR="00DC5881" w:rsidRPr="002B6994" w:rsidRDefault="00DC5881" w:rsidP="00DC5881">
      <w:pPr>
        <w:shd w:val="clear" w:color="auto" w:fill="FFFFFF"/>
        <w:spacing w:after="0" w:line="240" w:lineRule="auto"/>
        <w:rPr>
          <w:rFonts w:eastAsia="Times New Roman" w:cstheme="minorHAnsi"/>
        </w:rPr>
      </w:pPr>
    </w:p>
    <w:p w14:paraId="0CC5A31C" w14:textId="78335628" w:rsidR="00DC5881" w:rsidRPr="002B6994" w:rsidRDefault="00DC5881" w:rsidP="00DC5881">
      <w:pPr>
        <w:pStyle w:val="Heading3"/>
        <w:rPr>
          <w:rFonts w:eastAsia="Times New Roman"/>
          <w:b/>
          <w:bCs/>
        </w:rPr>
      </w:pPr>
      <w:bookmarkStart w:id="36" w:name="_Table_3._Explanation"/>
      <w:bookmarkEnd w:id="36"/>
      <w:r w:rsidRPr="00576E8A">
        <w:rPr>
          <w:rFonts w:eastAsia="Times New Roman"/>
          <w:b/>
          <w:bCs/>
          <w:highlight w:val="yellow"/>
        </w:rPr>
        <w:t xml:space="preserve">Table 3. </w:t>
      </w:r>
      <w:r w:rsidRPr="00576E8A">
        <w:rPr>
          <w:rFonts w:eastAsia="Times New Roman"/>
          <w:highlight w:val="yellow"/>
        </w:rPr>
        <w:t xml:space="preserve">Explanation of Scoring Criteria for </w:t>
      </w:r>
      <w:r w:rsidR="00D567C4">
        <w:rPr>
          <w:rFonts w:eastAsia="Times New Roman"/>
          <w:highlight w:val="yellow"/>
        </w:rPr>
        <w:t>Competitively Funded</w:t>
      </w:r>
      <w:r w:rsidRPr="00576E8A">
        <w:rPr>
          <w:rFonts w:eastAsia="Times New Roman"/>
          <w:highlight w:val="yellow"/>
        </w:rPr>
        <w:t xml:space="preserve"> Project Applications</w:t>
      </w:r>
    </w:p>
    <w:p w14:paraId="150F14EF" w14:textId="77777777" w:rsidR="00DC5881" w:rsidRPr="002B6994" w:rsidRDefault="00DC5881" w:rsidP="00DC5881">
      <w:pPr>
        <w:shd w:val="clear" w:color="auto" w:fill="FFFFFF"/>
        <w:spacing w:after="0" w:line="240" w:lineRule="auto"/>
        <w:rPr>
          <w:rFonts w:eastAsia="Times New Roman" w:cstheme="minorHAnsi"/>
        </w:rPr>
      </w:pPr>
    </w:p>
    <w:tbl>
      <w:tblPr>
        <w:tblW w:w="10009" w:type="dxa"/>
        <w:tblLayout w:type="fixed"/>
        <w:tblLook w:val="04A0" w:firstRow="1" w:lastRow="0" w:firstColumn="1" w:lastColumn="0" w:noHBand="0" w:noVBand="1"/>
      </w:tblPr>
      <w:tblGrid>
        <w:gridCol w:w="2510"/>
        <w:gridCol w:w="7499"/>
      </w:tblGrid>
      <w:tr w:rsidR="00576E8A" w:rsidRPr="002B6994" w14:paraId="334094F5" w14:textId="77777777" w:rsidTr="00576E8A">
        <w:trPr>
          <w:trHeight w:val="497"/>
        </w:trPr>
        <w:tc>
          <w:tcPr>
            <w:tcW w:w="2510" w:type="dxa"/>
            <w:vMerge w:val="restart"/>
            <w:tcBorders>
              <w:top w:val="single" w:sz="8" w:space="0" w:color="auto"/>
              <w:left w:val="single" w:sz="8" w:space="0" w:color="auto"/>
              <w:bottom w:val="single" w:sz="8" w:space="0" w:color="000000"/>
              <w:right w:val="single" w:sz="8" w:space="0" w:color="auto"/>
            </w:tcBorders>
            <w:shd w:val="clear" w:color="000000" w:fill="BDD7EE"/>
            <w:hideMark/>
          </w:tcPr>
          <w:p w14:paraId="7EA2CB4B" w14:textId="77777777" w:rsidR="00576E8A" w:rsidRPr="002B6994" w:rsidRDefault="00576E8A" w:rsidP="00AD2F14">
            <w:pPr>
              <w:spacing w:after="0" w:line="240" w:lineRule="auto"/>
              <w:jc w:val="center"/>
              <w:rPr>
                <w:rFonts w:eastAsia="Times New Roman" w:cstheme="minorHAnsi"/>
                <w:b/>
                <w:bCs/>
              </w:rPr>
            </w:pPr>
            <w:r w:rsidRPr="002B6994">
              <w:rPr>
                <w:rFonts w:eastAsia="Times New Roman" w:cstheme="minorHAnsi"/>
                <w:b/>
                <w:bCs/>
              </w:rPr>
              <w:t>Criteria</w:t>
            </w:r>
          </w:p>
        </w:tc>
        <w:tc>
          <w:tcPr>
            <w:tcW w:w="7499" w:type="dxa"/>
            <w:vMerge w:val="restart"/>
            <w:tcBorders>
              <w:top w:val="single" w:sz="8" w:space="0" w:color="auto"/>
              <w:left w:val="single" w:sz="8" w:space="0" w:color="auto"/>
              <w:bottom w:val="single" w:sz="8" w:space="0" w:color="000000"/>
              <w:right w:val="single" w:sz="8" w:space="0" w:color="auto"/>
            </w:tcBorders>
            <w:shd w:val="clear" w:color="000000" w:fill="BDD7EE"/>
            <w:hideMark/>
          </w:tcPr>
          <w:p w14:paraId="1EF8361C" w14:textId="77777777" w:rsidR="00576E8A" w:rsidRPr="002B6994" w:rsidRDefault="00576E8A" w:rsidP="00AD2F14">
            <w:pPr>
              <w:spacing w:after="0" w:line="240" w:lineRule="auto"/>
              <w:jc w:val="center"/>
              <w:rPr>
                <w:rFonts w:eastAsia="Times New Roman" w:cstheme="minorHAnsi"/>
                <w:b/>
                <w:bCs/>
              </w:rPr>
            </w:pPr>
            <w:r w:rsidRPr="002B6994">
              <w:rPr>
                <w:rFonts w:eastAsia="Times New Roman" w:cstheme="minorHAnsi"/>
                <w:b/>
                <w:bCs/>
              </w:rPr>
              <w:t>Scoring Notes</w:t>
            </w:r>
          </w:p>
        </w:tc>
      </w:tr>
      <w:tr w:rsidR="00576E8A" w:rsidRPr="002B6994" w14:paraId="25DE1D13" w14:textId="77777777" w:rsidTr="00576E8A">
        <w:trPr>
          <w:trHeight w:val="450"/>
        </w:trPr>
        <w:tc>
          <w:tcPr>
            <w:tcW w:w="2510" w:type="dxa"/>
            <w:vMerge/>
            <w:tcBorders>
              <w:top w:val="single" w:sz="8" w:space="0" w:color="auto"/>
              <w:left w:val="single" w:sz="8" w:space="0" w:color="auto"/>
              <w:bottom w:val="single" w:sz="4" w:space="0" w:color="auto"/>
              <w:right w:val="single" w:sz="8" w:space="0" w:color="auto"/>
            </w:tcBorders>
            <w:hideMark/>
          </w:tcPr>
          <w:p w14:paraId="4F9F4B1A" w14:textId="77777777" w:rsidR="00576E8A" w:rsidRPr="002B6994" w:rsidRDefault="00576E8A" w:rsidP="00AD2F14">
            <w:pPr>
              <w:spacing w:after="0" w:line="240" w:lineRule="auto"/>
              <w:rPr>
                <w:rFonts w:eastAsia="Times New Roman" w:cstheme="minorHAnsi"/>
                <w:b/>
                <w:bCs/>
              </w:rPr>
            </w:pPr>
          </w:p>
        </w:tc>
        <w:tc>
          <w:tcPr>
            <w:tcW w:w="7499" w:type="dxa"/>
            <w:vMerge/>
            <w:tcBorders>
              <w:top w:val="single" w:sz="8" w:space="0" w:color="auto"/>
              <w:left w:val="single" w:sz="8" w:space="0" w:color="auto"/>
              <w:bottom w:val="single" w:sz="4" w:space="0" w:color="auto"/>
              <w:right w:val="single" w:sz="8" w:space="0" w:color="auto"/>
            </w:tcBorders>
            <w:hideMark/>
          </w:tcPr>
          <w:p w14:paraId="00F7DCAF" w14:textId="77777777" w:rsidR="00576E8A" w:rsidRPr="002B6994" w:rsidRDefault="00576E8A" w:rsidP="00AD2F14">
            <w:pPr>
              <w:spacing w:after="0" w:line="240" w:lineRule="auto"/>
              <w:rPr>
                <w:rFonts w:eastAsia="Times New Roman" w:cstheme="minorHAnsi"/>
                <w:b/>
                <w:bCs/>
              </w:rPr>
            </w:pPr>
          </w:p>
        </w:tc>
      </w:tr>
      <w:tr w:rsidR="00576E8A" w:rsidRPr="002B6994" w14:paraId="4915E3CC" w14:textId="77777777" w:rsidTr="00576E8A">
        <w:trPr>
          <w:trHeight w:val="642"/>
        </w:trPr>
        <w:tc>
          <w:tcPr>
            <w:tcW w:w="2510" w:type="dxa"/>
            <w:tcBorders>
              <w:top w:val="single" w:sz="4" w:space="0" w:color="auto"/>
              <w:left w:val="single" w:sz="4" w:space="0" w:color="auto"/>
              <w:bottom w:val="single" w:sz="4" w:space="0" w:color="auto"/>
              <w:right w:val="single" w:sz="4" w:space="0" w:color="auto"/>
            </w:tcBorders>
            <w:shd w:val="clear" w:color="000000" w:fill="C6E0B4"/>
            <w:hideMark/>
          </w:tcPr>
          <w:p w14:paraId="550E3299" w14:textId="77777777" w:rsidR="00576E8A" w:rsidRPr="002B6994" w:rsidRDefault="00576E8A" w:rsidP="00576E8A">
            <w:pPr>
              <w:spacing w:before="120" w:after="120" w:line="240" w:lineRule="auto"/>
              <w:jc w:val="center"/>
              <w:rPr>
                <w:rFonts w:eastAsia="Times New Roman" w:cstheme="minorHAnsi"/>
              </w:rPr>
            </w:pPr>
            <w:r w:rsidRPr="002B6994">
              <w:rPr>
                <w:rFonts w:eastAsia="Times New Roman" w:cstheme="minorHAnsi"/>
              </w:rPr>
              <w:t>% Service Lines impacted by the project</w:t>
            </w:r>
          </w:p>
        </w:tc>
        <w:tc>
          <w:tcPr>
            <w:tcW w:w="7499" w:type="dxa"/>
            <w:tcBorders>
              <w:top w:val="single" w:sz="4" w:space="0" w:color="auto"/>
              <w:left w:val="single" w:sz="4" w:space="0" w:color="auto"/>
              <w:bottom w:val="single" w:sz="4" w:space="0" w:color="auto"/>
              <w:right w:val="single" w:sz="4" w:space="0" w:color="auto"/>
            </w:tcBorders>
            <w:shd w:val="clear" w:color="000000" w:fill="C6E0B4"/>
            <w:hideMark/>
          </w:tcPr>
          <w:p w14:paraId="5B504464" w14:textId="55FA951A" w:rsidR="00576E8A" w:rsidRPr="002B6994" w:rsidRDefault="00576E8A" w:rsidP="00576E8A">
            <w:pPr>
              <w:spacing w:before="120" w:after="120" w:line="240" w:lineRule="auto"/>
              <w:rPr>
                <w:rFonts w:eastAsia="Times New Roman" w:cstheme="minorHAnsi"/>
              </w:rPr>
            </w:pPr>
            <w:r w:rsidRPr="002B6994">
              <w:rPr>
                <w:rFonts w:eastAsia="Times New Roman" w:cstheme="minorHAnsi"/>
              </w:rPr>
              <w:t>Projects that address a greater percentage of service lines will score higher</w:t>
            </w:r>
            <w:r>
              <w:rPr>
                <w:rFonts w:eastAsia="Times New Roman" w:cstheme="minorHAnsi"/>
              </w:rPr>
              <w:t>.</w:t>
            </w:r>
          </w:p>
        </w:tc>
      </w:tr>
      <w:tr w:rsidR="00576E8A" w:rsidRPr="002B6994" w14:paraId="5F8C319B" w14:textId="77777777" w:rsidTr="00576E8A">
        <w:trPr>
          <w:trHeight w:val="712"/>
        </w:trPr>
        <w:tc>
          <w:tcPr>
            <w:tcW w:w="2510" w:type="dxa"/>
            <w:tcBorders>
              <w:top w:val="single" w:sz="4" w:space="0" w:color="auto"/>
              <w:left w:val="single" w:sz="4" w:space="0" w:color="auto"/>
              <w:bottom w:val="single" w:sz="4" w:space="0" w:color="auto"/>
              <w:right w:val="single" w:sz="4" w:space="0" w:color="auto"/>
            </w:tcBorders>
            <w:shd w:val="clear" w:color="000000" w:fill="C6E0B4"/>
            <w:hideMark/>
          </w:tcPr>
          <w:p w14:paraId="5E86BB04" w14:textId="77777777" w:rsidR="00576E8A" w:rsidRPr="002B6994" w:rsidRDefault="00576E8A" w:rsidP="00576E8A">
            <w:pPr>
              <w:spacing w:before="120" w:after="120" w:line="240" w:lineRule="auto"/>
              <w:jc w:val="center"/>
              <w:rPr>
                <w:rFonts w:eastAsia="Times New Roman" w:cstheme="minorHAnsi"/>
              </w:rPr>
            </w:pPr>
            <w:r w:rsidRPr="002B6994">
              <w:rPr>
                <w:rFonts w:eastAsia="Times New Roman" w:cstheme="minorHAnsi"/>
              </w:rPr>
              <w:t>Quality of Project Proposal</w:t>
            </w:r>
          </w:p>
        </w:tc>
        <w:tc>
          <w:tcPr>
            <w:tcW w:w="7499" w:type="dxa"/>
            <w:tcBorders>
              <w:top w:val="single" w:sz="4" w:space="0" w:color="auto"/>
              <w:left w:val="single" w:sz="4" w:space="0" w:color="auto"/>
              <w:bottom w:val="single" w:sz="4" w:space="0" w:color="auto"/>
              <w:right w:val="single" w:sz="4" w:space="0" w:color="auto"/>
            </w:tcBorders>
            <w:shd w:val="clear" w:color="000000" w:fill="C6E0B4"/>
            <w:hideMark/>
          </w:tcPr>
          <w:p w14:paraId="24D032CE" w14:textId="77777777" w:rsidR="00576E8A" w:rsidRPr="002B6994" w:rsidRDefault="00576E8A" w:rsidP="00576E8A">
            <w:pPr>
              <w:spacing w:before="120" w:after="120" w:line="240" w:lineRule="auto"/>
              <w:rPr>
                <w:rFonts w:eastAsia="Times New Roman" w:cstheme="minorHAnsi"/>
              </w:rPr>
            </w:pPr>
            <w:r w:rsidRPr="002B6994">
              <w:rPr>
                <w:rFonts w:eastAsia="Times New Roman" w:cstheme="minorHAnsi"/>
              </w:rPr>
              <w:t>Project proposals with a complete, well-defined Scope of Work will score higher.</w:t>
            </w:r>
          </w:p>
        </w:tc>
      </w:tr>
      <w:tr w:rsidR="00576E8A" w:rsidRPr="00254010" w14:paraId="25D0FD1F" w14:textId="77777777" w:rsidTr="00576E8A">
        <w:trPr>
          <w:trHeight w:val="313"/>
        </w:trPr>
        <w:tc>
          <w:tcPr>
            <w:tcW w:w="2510" w:type="dxa"/>
            <w:tcBorders>
              <w:top w:val="single" w:sz="4" w:space="0" w:color="auto"/>
              <w:left w:val="single" w:sz="4" w:space="0" w:color="auto"/>
              <w:bottom w:val="single" w:sz="4" w:space="0" w:color="auto"/>
              <w:right w:val="single" w:sz="4" w:space="0" w:color="auto"/>
            </w:tcBorders>
            <w:shd w:val="clear" w:color="000000" w:fill="C6E0B4"/>
          </w:tcPr>
          <w:p w14:paraId="205800EB" w14:textId="77777777" w:rsidR="00576E8A" w:rsidRPr="002B6994" w:rsidRDefault="00576E8A" w:rsidP="00576E8A">
            <w:pPr>
              <w:spacing w:before="120" w:after="120" w:line="240" w:lineRule="auto"/>
              <w:jc w:val="center"/>
              <w:rPr>
                <w:rFonts w:eastAsia="Times New Roman" w:cstheme="minorHAnsi"/>
              </w:rPr>
            </w:pPr>
            <w:r w:rsidRPr="002B6994">
              <w:rPr>
                <w:rFonts w:eastAsia="Times New Roman" w:cstheme="minorHAnsi"/>
              </w:rPr>
              <w:t>Economic Impact</w:t>
            </w:r>
          </w:p>
        </w:tc>
        <w:tc>
          <w:tcPr>
            <w:tcW w:w="7499" w:type="dxa"/>
            <w:tcBorders>
              <w:top w:val="single" w:sz="4" w:space="0" w:color="auto"/>
              <w:left w:val="single" w:sz="4" w:space="0" w:color="auto"/>
              <w:bottom w:val="single" w:sz="4" w:space="0" w:color="auto"/>
              <w:right w:val="single" w:sz="4" w:space="0" w:color="auto"/>
            </w:tcBorders>
            <w:shd w:val="clear" w:color="000000" w:fill="C6E0B4"/>
          </w:tcPr>
          <w:p w14:paraId="7A06C359" w14:textId="5BDE080D" w:rsidR="00576E8A" w:rsidRPr="00254010" w:rsidRDefault="00576E8A" w:rsidP="00576E8A">
            <w:pPr>
              <w:spacing w:before="120" w:after="120" w:line="240" w:lineRule="auto"/>
              <w:rPr>
                <w:rFonts w:eastAsia="Times New Roman" w:cstheme="minorHAnsi"/>
              </w:rPr>
            </w:pPr>
            <w:r>
              <w:rPr>
                <w:rFonts w:eastAsia="Times New Roman" w:cstheme="minorHAnsi"/>
              </w:rPr>
              <w:t>Project areas with a median household income</w:t>
            </w:r>
            <w:r w:rsidRPr="002B6994">
              <w:rPr>
                <w:rFonts w:eastAsia="Times New Roman" w:cstheme="minorHAnsi"/>
              </w:rPr>
              <w:t xml:space="preserve"> equal to or less than $49,555 will </w:t>
            </w:r>
            <w:r>
              <w:rPr>
                <w:rFonts w:eastAsia="Times New Roman" w:cstheme="minorHAnsi"/>
              </w:rPr>
              <w:t>be prioritized</w:t>
            </w:r>
            <w:r w:rsidRPr="002B6994">
              <w:rPr>
                <w:rFonts w:eastAsia="Times New Roman" w:cstheme="minorHAnsi"/>
              </w:rPr>
              <w:t>.</w:t>
            </w:r>
            <w:r>
              <w:rPr>
                <w:rFonts w:eastAsia="Times New Roman" w:cstheme="minorHAnsi"/>
              </w:rPr>
              <w:t xml:space="preserve"> </w:t>
            </w:r>
          </w:p>
        </w:tc>
      </w:tr>
      <w:tr w:rsidR="00576E8A" w:rsidRPr="00254010" w14:paraId="16DF75BF" w14:textId="77777777" w:rsidTr="00576E8A">
        <w:trPr>
          <w:trHeight w:val="313"/>
        </w:trPr>
        <w:tc>
          <w:tcPr>
            <w:tcW w:w="2510" w:type="dxa"/>
            <w:tcBorders>
              <w:top w:val="single" w:sz="4" w:space="0" w:color="auto"/>
              <w:left w:val="single" w:sz="4" w:space="0" w:color="auto"/>
              <w:bottom w:val="single" w:sz="4" w:space="0" w:color="auto"/>
              <w:right w:val="single" w:sz="4" w:space="0" w:color="auto"/>
            </w:tcBorders>
            <w:shd w:val="clear" w:color="000000" w:fill="C6E0B4"/>
          </w:tcPr>
          <w:p w14:paraId="3491EC67" w14:textId="21E0D18F" w:rsidR="00576E8A" w:rsidRPr="008D073D" w:rsidRDefault="00576E8A" w:rsidP="00576E8A">
            <w:pPr>
              <w:spacing w:before="120" w:after="120" w:line="240" w:lineRule="auto"/>
              <w:jc w:val="center"/>
              <w:rPr>
                <w:rFonts w:eastAsia="Times New Roman" w:cstheme="minorHAnsi"/>
                <w:highlight w:val="yellow"/>
              </w:rPr>
            </w:pPr>
            <w:r w:rsidRPr="008D073D">
              <w:rPr>
                <w:rFonts w:eastAsia="Times New Roman" w:cstheme="minorHAnsi"/>
                <w:highlight w:val="yellow"/>
              </w:rPr>
              <w:t>Unit Cost</w:t>
            </w:r>
          </w:p>
        </w:tc>
        <w:tc>
          <w:tcPr>
            <w:tcW w:w="7499" w:type="dxa"/>
            <w:tcBorders>
              <w:top w:val="single" w:sz="4" w:space="0" w:color="auto"/>
              <w:left w:val="single" w:sz="4" w:space="0" w:color="auto"/>
              <w:bottom w:val="single" w:sz="4" w:space="0" w:color="auto"/>
              <w:right w:val="single" w:sz="4" w:space="0" w:color="auto"/>
            </w:tcBorders>
            <w:shd w:val="clear" w:color="000000" w:fill="C6E0B4"/>
          </w:tcPr>
          <w:p w14:paraId="5D26EB2E" w14:textId="6440DC73" w:rsidR="00576E8A" w:rsidRPr="008D073D" w:rsidRDefault="00576E8A" w:rsidP="00576E8A">
            <w:pPr>
              <w:spacing w:before="120" w:after="120" w:line="240" w:lineRule="auto"/>
              <w:rPr>
                <w:rFonts w:eastAsia="Times New Roman" w:cstheme="minorHAnsi"/>
                <w:highlight w:val="yellow"/>
              </w:rPr>
            </w:pPr>
            <w:r w:rsidRPr="008D073D">
              <w:rPr>
                <w:rFonts w:eastAsia="Times New Roman" w:cstheme="minorHAnsi"/>
                <w:highlight w:val="yellow"/>
              </w:rPr>
              <w:t>Projects that make effective use of funds will score higher</w:t>
            </w:r>
            <w:r w:rsidR="009A79F2">
              <w:rPr>
                <w:rFonts w:eastAsia="Times New Roman" w:cstheme="minorHAnsi"/>
                <w:highlight w:val="yellow"/>
              </w:rPr>
              <w:t xml:space="preserve"> as determined by the requested funding amount and number of service lines impacted.</w:t>
            </w:r>
          </w:p>
        </w:tc>
      </w:tr>
      <w:tr w:rsidR="00576E8A" w:rsidRPr="00254010" w14:paraId="6C635588" w14:textId="77777777" w:rsidTr="00576E8A">
        <w:trPr>
          <w:trHeight w:val="313"/>
        </w:trPr>
        <w:tc>
          <w:tcPr>
            <w:tcW w:w="2510" w:type="dxa"/>
            <w:tcBorders>
              <w:top w:val="single" w:sz="4" w:space="0" w:color="auto"/>
              <w:left w:val="single" w:sz="4" w:space="0" w:color="auto"/>
              <w:bottom w:val="single" w:sz="4" w:space="0" w:color="auto"/>
              <w:right w:val="single" w:sz="4" w:space="0" w:color="auto"/>
            </w:tcBorders>
            <w:shd w:val="clear" w:color="000000" w:fill="C6E0B4"/>
          </w:tcPr>
          <w:p w14:paraId="57EE2587" w14:textId="7F05237B" w:rsidR="00576E8A" w:rsidRPr="008D073D" w:rsidRDefault="00576E8A" w:rsidP="00576E8A">
            <w:pPr>
              <w:spacing w:before="120" w:after="120" w:line="240" w:lineRule="auto"/>
              <w:jc w:val="center"/>
              <w:rPr>
                <w:rFonts w:eastAsia="Times New Roman" w:cstheme="minorHAnsi"/>
                <w:highlight w:val="yellow"/>
              </w:rPr>
            </w:pPr>
            <w:r w:rsidRPr="008D073D">
              <w:rPr>
                <w:rFonts w:eastAsia="Times New Roman" w:cstheme="minorHAnsi"/>
                <w:highlight w:val="yellow"/>
              </w:rPr>
              <w:t>Effort</w:t>
            </w:r>
          </w:p>
        </w:tc>
        <w:tc>
          <w:tcPr>
            <w:tcW w:w="7499" w:type="dxa"/>
            <w:tcBorders>
              <w:top w:val="single" w:sz="4" w:space="0" w:color="auto"/>
              <w:left w:val="single" w:sz="4" w:space="0" w:color="auto"/>
              <w:bottom w:val="single" w:sz="4" w:space="0" w:color="auto"/>
              <w:right w:val="single" w:sz="4" w:space="0" w:color="auto"/>
            </w:tcBorders>
            <w:shd w:val="clear" w:color="000000" w:fill="C6E0B4"/>
          </w:tcPr>
          <w:p w14:paraId="66229D08" w14:textId="7883F7DA" w:rsidR="00576E8A" w:rsidRPr="008D073D" w:rsidRDefault="00576E8A" w:rsidP="00576E8A">
            <w:pPr>
              <w:spacing w:before="120" w:after="120" w:line="240" w:lineRule="auto"/>
              <w:rPr>
                <w:rFonts w:eastAsia="Times New Roman" w:cstheme="minorHAnsi"/>
                <w:highlight w:val="yellow"/>
              </w:rPr>
            </w:pPr>
            <w:r w:rsidRPr="008D073D">
              <w:rPr>
                <w:rFonts w:eastAsia="Times New Roman" w:cstheme="minorHAnsi"/>
                <w:highlight w:val="yellow"/>
              </w:rPr>
              <w:t xml:space="preserve">Utilities that have already </w:t>
            </w:r>
            <w:proofErr w:type="gramStart"/>
            <w:r w:rsidRPr="008D073D">
              <w:rPr>
                <w:rFonts w:eastAsia="Times New Roman" w:cstheme="minorHAnsi"/>
                <w:highlight w:val="yellow"/>
              </w:rPr>
              <w:t>taken action</w:t>
            </w:r>
            <w:proofErr w:type="gramEnd"/>
            <w:r w:rsidRPr="008D073D">
              <w:rPr>
                <w:rFonts w:eastAsia="Times New Roman" w:cstheme="minorHAnsi"/>
                <w:highlight w:val="yellow"/>
              </w:rPr>
              <w:t xml:space="preserve"> or worked to reduce unknowns will score higher</w:t>
            </w:r>
            <w:r w:rsidR="00412FEC">
              <w:rPr>
                <w:rFonts w:eastAsia="Times New Roman" w:cstheme="minorHAnsi"/>
                <w:highlight w:val="yellow"/>
              </w:rPr>
              <w:t>.</w:t>
            </w:r>
          </w:p>
        </w:tc>
      </w:tr>
      <w:tr w:rsidR="00576E8A" w:rsidRPr="00254010" w14:paraId="410BAE95" w14:textId="77777777" w:rsidTr="00576E8A">
        <w:trPr>
          <w:trHeight w:val="313"/>
        </w:trPr>
        <w:tc>
          <w:tcPr>
            <w:tcW w:w="2510" w:type="dxa"/>
            <w:tcBorders>
              <w:top w:val="single" w:sz="4" w:space="0" w:color="auto"/>
              <w:left w:val="single" w:sz="4" w:space="0" w:color="auto"/>
              <w:bottom w:val="single" w:sz="4" w:space="0" w:color="auto"/>
              <w:right w:val="single" w:sz="4" w:space="0" w:color="auto"/>
            </w:tcBorders>
            <w:shd w:val="clear" w:color="000000" w:fill="C6E0B4"/>
          </w:tcPr>
          <w:p w14:paraId="0F5854DF" w14:textId="715F89A1" w:rsidR="00576E8A" w:rsidRPr="008D073D" w:rsidRDefault="00576E8A" w:rsidP="00576E8A">
            <w:pPr>
              <w:spacing w:before="120" w:after="120" w:line="240" w:lineRule="auto"/>
              <w:jc w:val="center"/>
              <w:rPr>
                <w:rFonts w:eastAsia="Times New Roman" w:cstheme="minorHAnsi"/>
                <w:highlight w:val="yellow"/>
              </w:rPr>
            </w:pPr>
            <w:r w:rsidRPr="008D073D">
              <w:rPr>
                <w:rFonts w:eastAsia="Times New Roman" w:cstheme="minorHAnsi"/>
                <w:highlight w:val="yellow"/>
              </w:rPr>
              <w:t>Prioritization</w:t>
            </w:r>
          </w:p>
        </w:tc>
        <w:tc>
          <w:tcPr>
            <w:tcW w:w="7499" w:type="dxa"/>
            <w:tcBorders>
              <w:top w:val="single" w:sz="4" w:space="0" w:color="auto"/>
              <w:left w:val="single" w:sz="4" w:space="0" w:color="auto"/>
              <w:bottom w:val="single" w:sz="4" w:space="0" w:color="auto"/>
              <w:right w:val="single" w:sz="4" w:space="0" w:color="auto"/>
            </w:tcBorders>
            <w:shd w:val="clear" w:color="000000" w:fill="C6E0B4"/>
          </w:tcPr>
          <w:p w14:paraId="4ABC9E24" w14:textId="79C84CFE" w:rsidR="00576E8A" w:rsidRPr="008D073D" w:rsidRDefault="00576E8A" w:rsidP="00576E8A">
            <w:pPr>
              <w:spacing w:before="120" w:after="120" w:line="240" w:lineRule="auto"/>
              <w:rPr>
                <w:rFonts w:eastAsia="Times New Roman" w:cstheme="minorHAnsi"/>
                <w:highlight w:val="yellow"/>
              </w:rPr>
            </w:pPr>
            <w:r w:rsidRPr="008D073D">
              <w:rPr>
                <w:rFonts w:eastAsia="Times New Roman" w:cstheme="minorHAnsi"/>
                <w:highlight w:val="yellow"/>
              </w:rPr>
              <w:t>Utilities that have prioritized</w:t>
            </w:r>
            <w:r w:rsidR="00412FEC">
              <w:rPr>
                <w:rFonts w:eastAsia="Times New Roman" w:cstheme="minorHAnsi"/>
                <w:highlight w:val="yellow"/>
              </w:rPr>
              <w:t xml:space="preserve"> projects in</w:t>
            </w:r>
            <w:r w:rsidRPr="008D073D">
              <w:rPr>
                <w:rFonts w:eastAsia="Times New Roman" w:cstheme="minorHAnsi"/>
                <w:highlight w:val="yellow"/>
              </w:rPr>
              <w:t xml:space="preserve"> “Disadvantaged Areas” will score higher</w:t>
            </w:r>
            <w:r w:rsidR="00412FEC">
              <w:rPr>
                <w:rFonts w:eastAsia="Times New Roman" w:cstheme="minorHAnsi"/>
                <w:highlight w:val="yellow"/>
              </w:rPr>
              <w:t>.</w:t>
            </w:r>
          </w:p>
        </w:tc>
      </w:tr>
      <w:tr w:rsidR="00576E8A" w:rsidRPr="00254010" w14:paraId="3C79C2C0" w14:textId="77777777" w:rsidTr="00576E8A">
        <w:trPr>
          <w:trHeight w:val="313"/>
        </w:trPr>
        <w:tc>
          <w:tcPr>
            <w:tcW w:w="2510" w:type="dxa"/>
            <w:tcBorders>
              <w:top w:val="single" w:sz="4" w:space="0" w:color="auto"/>
              <w:left w:val="single" w:sz="4" w:space="0" w:color="auto"/>
              <w:bottom w:val="single" w:sz="4" w:space="0" w:color="auto"/>
              <w:right w:val="single" w:sz="4" w:space="0" w:color="auto"/>
            </w:tcBorders>
            <w:shd w:val="clear" w:color="000000" w:fill="C6E0B4"/>
          </w:tcPr>
          <w:p w14:paraId="781E20DC" w14:textId="34D9D629" w:rsidR="00576E8A" w:rsidRPr="008D073D" w:rsidRDefault="00576E8A" w:rsidP="00576E8A">
            <w:pPr>
              <w:spacing w:before="120" w:after="120" w:line="240" w:lineRule="auto"/>
              <w:jc w:val="center"/>
              <w:rPr>
                <w:rFonts w:eastAsia="Times New Roman" w:cstheme="minorHAnsi"/>
                <w:highlight w:val="yellow"/>
              </w:rPr>
            </w:pPr>
            <w:r w:rsidRPr="008D073D">
              <w:rPr>
                <w:rFonts w:eastAsia="Times New Roman" w:cstheme="minorHAnsi"/>
                <w:highlight w:val="yellow"/>
              </w:rPr>
              <w:t>Age</w:t>
            </w:r>
          </w:p>
        </w:tc>
        <w:tc>
          <w:tcPr>
            <w:tcW w:w="7499" w:type="dxa"/>
            <w:tcBorders>
              <w:top w:val="single" w:sz="4" w:space="0" w:color="auto"/>
              <w:left w:val="single" w:sz="4" w:space="0" w:color="auto"/>
              <w:bottom w:val="single" w:sz="4" w:space="0" w:color="auto"/>
              <w:right w:val="single" w:sz="4" w:space="0" w:color="auto"/>
            </w:tcBorders>
            <w:shd w:val="clear" w:color="000000" w:fill="C6E0B4"/>
          </w:tcPr>
          <w:p w14:paraId="36DFA2EA" w14:textId="3B80554A" w:rsidR="00576E8A" w:rsidRPr="008D073D" w:rsidRDefault="00576E8A" w:rsidP="00576E8A">
            <w:pPr>
              <w:spacing w:before="120" w:after="120" w:line="240" w:lineRule="auto"/>
              <w:rPr>
                <w:rFonts w:eastAsia="Times New Roman" w:cstheme="minorHAnsi"/>
                <w:highlight w:val="yellow"/>
              </w:rPr>
            </w:pPr>
            <w:r w:rsidRPr="008D073D">
              <w:rPr>
                <w:rFonts w:eastAsia="Times New Roman" w:cstheme="minorHAnsi"/>
                <w:highlight w:val="yellow"/>
              </w:rPr>
              <w:t xml:space="preserve">Age of system may be </w:t>
            </w:r>
            <w:proofErr w:type="gramStart"/>
            <w:r w:rsidRPr="008D073D">
              <w:rPr>
                <w:rFonts w:eastAsia="Times New Roman" w:cstheme="minorHAnsi"/>
                <w:highlight w:val="yellow"/>
              </w:rPr>
              <w:t>taken into account</w:t>
            </w:r>
            <w:proofErr w:type="gramEnd"/>
            <w:r w:rsidR="00412FEC">
              <w:rPr>
                <w:rFonts w:eastAsia="Times New Roman" w:cstheme="minorHAnsi"/>
                <w:highlight w:val="yellow"/>
              </w:rPr>
              <w:t xml:space="preserve">. </w:t>
            </w:r>
          </w:p>
        </w:tc>
      </w:tr>
      <w:tr w:rsidR="00576E8A" w:rsidRPr="00254010" w14:paraId="3ABE1171" w14:textId="77777777" w:rsidTr="00576E8A">
        <w:trPr>
          <w:trHeight w:val="313"/>
        </w:trPr>
        <w:tc>
          <w:tcPr>
            <w:tcW w:w="2510" w:type="dxa"/>
            <w:tcBorders>
              <w:top w:val="single" w:sz="4" w:space="0" w:color="auto"/>
              <w:left w:val="single" w:sz="4" w:space="0" w:color="auto"/>
              <w:bottom w:val="single" w:sz="4" w:space="0" w:color="auto"/>
              <w:right w:val="single" w:sz="4" w:space="0" w:color="auto"/>
            </w:tcBorders>
            <w:shd w:val="clear" w:color="000000" w:fill="C6E0B4"/>
          </w:tcPr>
          <w:p w14:paraId="5596FF2A" w14:textId="1CA3166E" w:rsidR="00576E8A" w:rsidRPr="008D073D" w:rsidRDefault="00576E8A" w:rsidP="00576E8A">
            <w:pPr>
              <w:spacing w:before="120" w:after="120" w:line="240" w:lineRule="auto"/>
              <w:jc w:val="center"/>
              <w:rPr>
                <w:rFonts w:eastAsia="Times New Roman" w:cstheme="minorHAnsi"/>
                <w:highlight w:val="yellow"/>
              </w:rPr>
            </w:pPr>
            <w:r w:rsidRPr="008D073D">
              <w:rPr>
                <w:rFonts w:eastAsia="Times New Roman" w:cstheme="minorHAnsi"/>
                <w:highlight w:val="yellow"/>
              </w:rPr>
              <w:t>Volume of work</w:t>
            </w:r>
          </w:p>
        </w:tc>
        <w:tc>
          <w:tcPr>
            <w:tcW w:w="7499" w:type="dxa"/>
            <w:tcBorders>
              <w:top w:val="single" w:sz="4" w:space="0" w:color="auto"/>
              <w:left w:val="single" w:sz="4" w:space="0" w:color="auto"/>
              <w:bottom w:val="single" w:sz="4" w:space="0" w:color="auto"/>
              <w:right w:val="single" w:sz="4" w:space="0" w:color="auto"/>
            </w:tcBorders>
            <w:shd w:val="clear" w:color="000000" w:fill="C6E0B4"/>
          </w:tcPr>
          <w:p w14:paraId="1CC7DEE1" w14:textId="44A2081A" w:rsidR="00576E8A" w:rsidRPr="008D073D" w:rsidRDefault="00576E8A" w:rsidP="00576E8A">
            <w:pPr>
              <w:spacing w:before="120" w:after="120" w:line="240" w:lineRule="auto"/>
              <w:rPr>
                <w:rFonts w:eastAsia="Times New Roman" w:cstheme="minorHAnsi"/>
                <w:highlight w:val="yellow"/>
              </w:rPr>
            </w:pPr>
            <w:r w:rsidRPr="008D073D">
              <w:rPr>
                <w:rFonts w:eastAsia="Times New Roman" w:cstheme="minorHAnsi"/>
                <w:highlight w:val="yellow"/>
              </w:rPr>
              <w:t xml:space="preserve">Volume of work needed may be </w:t>
            </w:r>
            <w:proofErr w:type="gramStart"/>
            <w:r w:rsidRPr="008D073D">
              <w:rPr>
                <w:rFonts w:eastAsia="Times New Roman" w:cstheme="minorHAnsi"/>
                <w:highlight w:val="yellow"/>
              </w:rPr>
              <w:t>taken into account</w:t>
            </w:r>
            <w:proofErr w:type="gramEnd"/>
            <w:r w:rsidR="00412FEC">
              <w:rPr>
                <w:rFonts w:eastAsia="Times New Roman" w:cstheme="minorHAnsi"/>
                <w:highlight w:val="yellow"/>
              </w:rPr>
              <w:t>.</w:t>
            </w:r>
          </w:p>
        </w:tc>
      </w:tr>
      <w:tr w:rsidR="00977E9B" w:rsidRPr="00254010" w14:paraId="60060683" w14:textId="77777777" w:rsidTr="00576E8A">
        <w:trPr>
          <w:trHeight w:val="313"/>
        </w:trPr>
        <w:tc>
          <w:tcPr>
            <w:tcW w:w="2510" w:type="dxa"/>
            <w:tcBorders>
              <w:top w:val="single" w:sz="4" w:space="0" w:color="auto"/>
              <w:left w:val="single" w:sz="4" w:space="0" w:color="auto"/>
              <w:bottom w:val="single" w:sz="4" w:space="0" w:color="auto"/>
              <w:right w:val="single" w:sz="4" w:space="0" w:color="auto"/>
            </w:tcBorders>
            <w:shd w:val="clear" w:color="000000" w:fill="C6E0B4"/>
          </w:tcPr>
          <w:p w14:paraId="73769976" w14:textId="17DB89CC" w:rsidR="00977E9B" w:rsidRPr="00D2538C" w:rsidRDefault="00977E9B" w:rsidP="00576E8A">
            <w:pPr>
              <w:spacing w:before="120" w:after="120" w:line="240" w:lineRule="auto"/>
              <w:jc w:val="center"/>
              <w:rPr>
                <w:rFonts w:eastAsia="Times New Roman" w:cstheme="minorHAnsi"/>
                <w:highlight w:val="yellow"/>
              </w:rPr>
            </w:pPr>
            <w:r w:rsidRPr="00D2538C">
              <w:rPr>
                <w:rFonts w:eastAsia="Times New Roman" w:cstheme="minorHAnsi"/>
                <w:highlight w:val="yellow"/>
              </w:rPr>
              <w:t>Water Audits and Regional Meetings</w:t>
            </w:r>
          </w:p>
        </w:tc>
        <w:tc>
          <w:tcPr>
            <w:tcW w:w="7499" w:type="dxa"/>
            <w:tcBorders>
              <w:top w:val="single" w:sz="4" w:space="0" w:color="auto"/>
              <w:left w:val="single" w:sz="4" w:space="0" w:color="auto"/>
              <w:bottom w:val="single" w:sz="4" w:space="0" w:color="auto"/>
              <w:right w:val="single" w:sz="4" w:space="0" w:color="auto"/>
            </w:tcBorders>
            <w:shd w:val="clear" w:color="000000" w:fill="C6E0B4"/>
          </w:tcPr>
          <w:p w14:paraId="27EA3BD4" w14:textId="25B31610" w:rsidR="00977E9B" w:rsidRPr="00D2538C" w:rsidRDefault="00977E9B" w:rsidP="00576E8A">
            <w:pPr>
              <w:spacing w:before="120" w:after="120" w:line="240" w:lineRule="auto"/>
              <w:rPr>
                <w:rFonts w:eastAsia="Times New Roman" w:cstheme="minorHAnsi"/>
                <w:highlight w:val="yellow"/>
              </w:rPr>
            </w:pPr>
            <w:r w:rsidRPr="00D2538C">
              <w:rPr>
                <w:rFonts w:eastAsia="Times New Roman" w:cstheme="minorHAnsi"/>
                <w:highlight w:val="yellow"/>
              </w:rPr>
              <w:t>Utilities not adhering to IFA’s Water Audit and Regional Meeting requirements will receive lower priority.</w:t>
            </w:r>
          </w:p>
        </w:tc>
      </w:tr>
    </w:tbl>
    <w:p w14:paraId="2E7CB50D" w14:textId="3448C70D" w:rsidR="00B2578B" w:rsidRDefault="00B2578B" w:rsidP="00F818F5">
      <w:pPr>
        <w:rPr>
          <w:sz w:val="32"/>
          <w:szCs w:val="32"/>
        </w:rPr>
      </w:pPr>
    </w:p>
    <w:p w14:paraId="67091D67" w14:textId="77777777" w:rsidR="00FD68A9" w:rsidRPr="005A4CDF" w:rsidRDefault="00FD68A9" w:rsidP="00F818F5">
      <w:pPr>
        <w:rPr>
          <w:sz w:val="32"/>
          <w:szCs w:val="32"/>
        </w:rPr>
      </w:pPr>
    </w:p>
    <w:p w14:paraId="6DC73722" w14:textId="77777777" w:rsidR="00CA0276" w:rsidRDefault="00CA0276">
      <w:pPr>
        <w:rPr>
          <w:rFonts w:asciiTheme="majorHAnsi" w:eastAsiaTheme="majorEastAsia" w:hAnsiTheme="majorHAnsi" w:cstheme="majorBidi"/>
          <w:color w:val="2F5496" w:themeColor="accent1" w:themeShade="BF"/>
          <w:sz w:val="32"/>
          <w:szCs w:val="32"/>
        </w:rPr>
      </w:pPr>
      <w:bookmarkStart w:id="37" w:name="_Section_8:_Funding"/>
      <w:bookmarkEnd w:id="37"/>
      <w:r>
        <w:br w:type="page"/>
      </w:r>
    </w:p>
    <w:p w14:paraId="5AD512FD" w14:textId="462B5CDA" w:rsidR="004A21FB" w:rsidRPr="005A4CDF" w:rsidRDefault="0066015B" w:rsidP="008A3253">
      <w:pPr>
        <w:pStyle w:val="Heading1"/>
      </w:pPr>
      <w:bookmarkStart w:id="38" w:name="_Section_8:_Funding_1"/>
      <w:bookmarkEnd w:id="38"/>
      <w:r w:rsidRPr="005A4CDF">
        <w:lastRenderedPageBreak/>
        <w:t xml:space="preserve">Section </w:t>
      </w:r>
      <w:r w:rsidR="00576E8A">
        <w:t>7</w:t>
      </w:r>
      <w:r w:rsidRPr="005A4CDF">
        <w:t xml:space="preserve">: </w:t>
      </w:r>
      <w:r w:rsidR="004A21FB" w:rsidRPr="005A4CDF">
        <w:t>Funding Rounds and D</w:t>
      </w:r>
      <w:r w:rsidR="00594E13" w:rsidRPr="005A4CDF">
        <w:t>eadlines</w:t>
      </w:r>
    </w:p>
    <w:p w14:paraId="38D8C556" w14:textId="77777777" w:rsidR="005A4CDF" w:rsidRDefault="005A4CDF" w:rsidP="008A3253">
      <w:pPr>
        <w:shd w:val="clear" w:color="auto" w:fill="FFFFFF"/>
        <w:spacing w:after="0" w:line="240" w:lineRule="auto"/>
      </w:pPr>
    </w:p>
    <w:p w14:paraId="159A679F" w14:textId="17E260DD" w:rsidR="007C4C1D" w:rsidRDefault="00ED25E0" w:rsidP="007C4C1D">
      <w:pPr>
        <w:spacing w:after="0"/>
      </w:pPr>
      <w:r>
        <w:t>A second round of funding will be</w:t>
      </w:r>
      <w:r w:rsidR="004A21FB">
        <w:t xml:space="preserve"> offered. </w:t>
      </w:r>
      <w:r w:rsidR="009C6944" w:rsidRPr="009C6944">
        <w:rPr>
          <w:highlight w:val="yellow"/>
        </w:rPr>
        <w:t>A third round is not currently anticipated.</w:t>
      </w:r>
      <w:r w:rsidR="009C6944">
        <w:t xml:space="preserve"> </w:t>
      </w:r>
      <w:r w:rsidR="00352461">
        <w:t xml:space="preserve">Table </w:t>
      </w:r>
      <w:r w:rsidR="00852B25">
        <w:t>4</w:t>
      </w:r>
      <w:r w:rsidR="00352461">
        <w:t xml:space="preserve"> lists important dates for both rounds. </w:t>
      </w:r>
      <w:r w:rsidR="007C4C1D">
        <w:t xml:space="preserve">The IFA will accept one application per round (per PWSID) and a utility may submit as many Project Types (I, II, III) as desired on that one application. </w:t>
      </w:r>
    </w:p>
    <w:p w14:paraId="00F38805" w14:textId="5F860185" w:rsidR="007C4C1D" w:rsidRDefault="007C4C1D" w:rsidP="007C4C1D">
      <w:pPr>
        <w:spacing w:after="0"/>
      </w:pPr>
    </w:p>
    <w:p w14:paraId="18F502C7" w14:textId="0885CE9C" w:rsidR="00352461" w:rsidRDefault="00352461" w:rsidP="00CA0276">
      <w:pPr>
        <w:pStyle w:val="Heading3"/>
        <w:rPr>
          <w:rFonts w:eastAsia="Times New Roman"/>
          <w:b/>
          <w:bCs/>
        </w:rPr>
      </w:pPr>
      <w:bookmarkStart w:id="39" w:name="_Table_3:_IFA"/>
      <w:bookmarkEnd w:id="39"/>
      <w:r w:rsidRPr="00462337">
        <w:rPr>
          <w:rFonts w:eastAsia="Times New Roman"/>
          <w:b/>
          <w:bCs/>
        </w:rPr>
        <w:t xml:space="preserve">Table </w:t>
      </w:r>
      <w:r w:rsidR="00852B25">
        <w:rPr>
          <w:rFonts w:eastAsia="Times New Roman"/>
          <w:b/>
          <w:bCs/>
        </w:rPr>
        <w:t>4</w:t>
      </w:r>
      <w:r w:rsidRPr="00462337">
        <w:rPr>
          <w:rFonts w:eastAsia="Times New Roman"/>
          <w:b/>
          <w:bCs/>
        </w:rPr>
        <w:t xml:space="preserve">: </w:t>
      </w:r>
      <w:r w:rsidR="00462337" w:rsidRPr="00462337">
        <w:rPr>
          <w:rFonts w:eastAsia="Times New Roman"/>
        </w:rPr>
        <w:t xml:space="preserve">IFA </w:t>
      </w:r>
      <w:r w:rsidR="00A13152">
        <w:rPr>
          <w:rFonts w:eastAsia="Times New Roman"/>
        </w:rPr>
        <w:t>LSL Inventory</w:t>
      </w:r>
      <w:r w:rsidR="00462337" w:rsidRPr="00462337">
        <w:rPr>
          <w:rFonts w:eastAsia="Times New Roman"/>
        </w:rPr>
        <w:t xml:space="preserve"> Funding Rounds and Deadlines</w:t>
      </w:r>
    </w:p>
    <w:p w14:paraId="3906E7B0" w14:textId="77777777" w:rsidR="00462337" w:rsidRPr="00462337" w:rsidRDefault="00462337" w:rsidP="00462337">
      <w:pPr>
        <w:shd w:val="clear" w:color="auto" w:fill="FFFFFF"/>
        <w:spacing w:after="0" w:line="240" w:lineRule="auto"/>
        <w:rPr>
          <w:rFonts w:eastAsia="Times New Roman" w:cstheme="minorHAnsi"/>
          <w:b/>
          <w:bCs/>
        </w:rPr>
      </w:pPr>
    </w:p>
    <w:tbl>
      <w:tblPr>
        <w:tblW w:w="4809" w:type="pct"/>
        <w:tblLook w:val="04A0" w:firstRow="1" w:lastRow="0" w:firstColumn="1" w:lastColumn="0" w:noHBand="0" w:noVBand="1"/>
      </w:tblPr>
      <w:tblGrid>
        <w:gridCol w:w="1970"/>
        <w:gridCol w:w="7470"/>
        <w:gridCol w:w="236"/>
      </w:tblGrid>
      <w:tr w:rsidR="00E57FC6" w:rsidRPr="00254010" w14:paraId="2A8E52E4" w14:textId="77777777" w:rsidTr="00462337">
        <w:trPr>
          <w:gridAfter w:val="1"/>
          <w:wAfter w:w="122" w:type="pct"/>
          <w:trHeight w:val="476"/>
        </w:trPr>
        <w:tc>
          <w:tcPr>
            <w:tcW w:w="1018" w:type="pct"/>
            <w:vMerge w:val="restart"/>
            <w:tcBorders>
              <w:top w:val="single" w:sz="8" w:space="0" w:color="auto"/>
              <w:left w:val="single" w:sz="8" w:space="0" w:color="auto"/>
              <w:bottom w:val="single" w:sz="8" w:space="0" w:color="000000"/>
              <w:right w:val="single" w:sz="8" w:space="0" w:color="auto"/>
            </w:tcBorders>
            <w:shd w:val="clear" w:color="000000" w:fill="BDD7EE"/>
            <w:vAlign w:val="bottom"/>
            <w:hideMark/>
          </w:tcPr>
          <w:p w14:paraId="36B547FA" w14:textId="77777777" w:rsidR="00E57FC6" w:rsidRPr="00254010" w:rsidRDefault="00E57FC6" w:rsidP="00462337">
            <w:pPr>
              <w:spacing w:after="0" w:line="240" w:lineRule="auto"/>
              <w:rPr>
                <w:rFonts w:eastAsia="Times New Roman" w:cstheme="minorHAnsi"/>
                <w:b/>
                <w:bCs/>
              </w:rPr>
            </w:pPr>
            <w:r w:rsidRPr="00254010">
              <w:rPr>
                <w:rFonts w:eastAsia="Times New Roman" w:cstheme="minorHAnsi"/>
                <w:b/>
                <w:bCs/>
              </w:rPr>
              <w:t>Date</w:t>
            </w:r>
          </w:p>
        </w:tc>
        <w:tc>
          <w:tcPr>
            <w:tcW w:w="3860" w:type="pct"/>
            <w:vMerge w:val="restart"/>
            <w:tcBorders>
              <w:top w:val="single" w:sz="8" w:space="0" w:color="auto"/>
              <w:left w:val="single" w:sz="8" w:space="0" w:color="auto"/>
              <w:bottom w:val="single" w:sz="8" w:space="0" w:color="000000"/>
              <w:right w:val="single" w:sz="8" w:space="0" w:color="auto"/>
            </w:tcBorders>
            <w:shd w:val="clear" w:color="000000" w:fill="BDD7EE"/>
            <w:vAlign w:val="bottom"/>
            <w:hideMark/>
          </w:tcPr>
          <w:p w14:paraId="639716A3" w14:textId="77CD4070" w:rsidR="00E57FC6" w:rsidRPr="00254010" w:rsidRDefault="00E57FC6" w:rsidP="00462337">
            <w:pPr>
              <w:spacing w:after="0" w:line="240" w:lineRule="auto"/>
              <w:rPr>
                <w:rFonts w:eastAsia="Times New Roman" w:cstheme="minorHAnsi"/>
                <w:b/>
                <w:bCs/>
              </w:rPr>
            </w:pPr>
            <w:r w:rsidRPr="00254010">
              <w:rPr>
                <w:rFonts w:eastAsia="Times New Roman" w:cstheme="minorHAnsi"/>
                <w:b/>
                <w:bCs/>
              </w:rPr>
              <w:t>Milestone</w:t>
            </w:r>
          </w:p>
        </w:tc>
      </w:tr>
      <w:tr w:rsidR="00E57FC6" w:rsidRPr="00254010" w14:paraId="6744576B" w14:textId="77777777" w:rsidTr="00462337">
        <w:trPr>
          <w:trHeight w:val="60"/>
        </w:trPr>
        <w:tc>
          <w:tcPr>
            <w:tcW w:w="1018" w:type="pct"/>
            <w:vMerge/>
            <w:tcBorders>
              <w:top w:val="single" w:sz="8" w:space="0" w:color="auto"/>
              <w:left w:val="single" w:sz="8" w:space="0" w:color="auto"/>
              <w:bottom w:val="single" w:sz="8" w:space="0" w:color="000000"/>
              <w:right w:val="single" w:sz="8" w:space="0" w:color="auto"/>
            </w:tcBorders>
            <w:vAlign w:val="center"/>
            <w:hideMark/>
          </w:tcPr>
          <w:p w14:paraId="310ED051" w14:textId="77777777" w:rsidR="00E57FC6" w:rsidRPr="00254010" w:rsidRDefault="00E57FC6" w:rsidP="00462337">
            <w:pPr>
              <w:spacing w:after="0" w:line="240" w:lineRule="auto"/>
              <w:rPr>
                <w:rFonts w:eastAsia="Times New Roman" w:cstheme="minorHAnsi"/>
                <w:b/>
                <w:bCs/>
              </w:rPr>
            </w:pPr>
          </w:p>
        </w:tc>
        <w:tc>
          <w:tcPr>
            <w:tcW w:w="3860" w:type="pct"/>
            <w:vMerge/>
            <w:tcBorders>
              <w:top w:val="single" w:sz="8" w:space="0" w:color="auto"/>
              <w:left w:val="single" w:sz="8" w:space="0" w:color="auto"/>
              <w:bottom w:val="single" w:sz="8" w:space="0" w:color="000000"/>
              <w:right w:val="single" w:sz="8" w:space="0" w:color="auto"/>
            </w:tcBorders>
            <w:vAlign w:val="center"/>
            <w:hideMark/>
          </w:tcPr>
          <w:p w14:paraId="205A84F3" w14:textId="77777777" w:rsidR="00E57FC6" w:rsidRPr="00254010" w:rsidRDefault="00E57FC6" w:rsidP="00462337">
            <w:pPr>
              <w:spacing w:after="0" w:line="240" w:lineRule="auto"/>
              <w:rPr>
                <w:rFonts w:eastAsia="Times New Roman" w:cstheme="minorHAnsi"/>
                <w:b/>
                <w:bCs/>
              </w:rPr>
            </w:pPr>
          </w:p>
        </w:tc>
        <w:tc>
          <w:tcPr>
            <w:tcW w:w="122" w:type="pct"/>
            <w:tcBorders>
              <w:top w:val="nil"/>
              <w:left w:val="nil"/>
              <w:bottom w:val="nil"/>
              <w:right w:val="nil"/>
            </w:tcBorders>
            <w:shd w:val="clear" w:color="auto" w:fill="auto"/>
            <w:noWrap/>
            <w:vAlign w:val="bottom"/>
            <w:hideMark/>
          </w:tcPr>
          <w:p w14:paraId="006CC168" w14:textId="77777777" w:rsidR="00E57FC6" w:rsidRPr="00254010" w:rsidRDefault="00E57FC6" w:rsidP="00462337">
            <w:pPr>
              <w:spacing w:after="0" w:line="240" w:lineRule="auto"/>
              <w:rPr>
                <w:rFonts w:eastAsia="Times New Roman" w:cstheme="minorHAnsi"/>
                <w:b/>
                <w:bCs/>
              </w:rPr>
            </w:pPr>
          </w:p>
        </w:tc>
      </w:tr>
      <w:tr w:rsidR="00E57FC6" w:rsidRPr="00254010" w14:paraId="6F2747A7" w14:textId="77777777" w:rsidTr="00462337">
        <w:trPr>
          <w:trHeight w:val="315"/>
        </w:trPr>
        <w:tc>
          <w:tcPr>
            <w:tcW w:w="1018" w:type="pct"/>
            <w:tcBorders>
              <w:top w:val="nil"/>
              <w:left w:val="single" w:sz="8" w:space="0" w:color="auto"/>
              <w:bottom w:val="single" w:sz="8" w:space="0" w:color="auto"/>
              <w:right w:val="single" w:sz="8" w:space="0" w:color="auto"/>
            </w:tcBorders>
            <w:shd w:val="clear" w:color="000000" w:fill="C6E0B4"/>
            <w:vAlign w:val="center"/>
            <w:hideMark/>
          </w:tcPr>
          <w:p w14:paraId="43DA9D42" w14:textId="02865005" w:rsidR="00E57FC6" w:rsidRPr="00254010" w:rsidRDefault="00D90F65" w:rsidP="00462337">
            <w:pPr>
              <w:spacing w:before="120" w:after="120" w:line="276" w:lineRule="auto"/>
              <w:jc w:val="center"/>
              <w:rPr>
                <w:rFonts w:eastAsia="Times New Roman" w:cstheme="minorHAnsi"/>
              </w:rPr>
            </w:pPr>
            <w:r w:rsidRPr="008C00F1">
              <w:rPr>
                <w:rFonts w:eastAsia="Times New Roman" w:cstheme="minorHAnsi"/>
              </w:rPr>
              <w:t>4/2</w:t>
            </w:r>
            <w:r w:rsidR="007A15F0">
              <w:rPr>
                <w:rFonts w:eastAsia="Times New Roman" w:cstheme="minorHAnsi"/>
              </w:rPr>
              <w:t>4</w:t>
            </w:r>
            <w:r w:rsidR="00E57FC6" w:rsidRPr="008C00F1">
              <w:rPr>
                <w:rFonts w:eastAsia="Times New Roman" w:cstheme="minorHAnsi"/>
              </w:rPr>
              <w:t>/</w:t>
            </w:r>
            <w:r w:rsidRPr="008C00F1">
              <w:rPr>
                <w:rFonts w:eastAsia="Times New Roman" w:cstheme="minorHAnsi"/>
              </w:rPr>
              <w:t>20</w:t>
            </w:r>
            <w:r w:rsidR="00E57FC6" w:rsidRPr="008C00F1">
              <w:rPr>
                <w:rFonts w:eastAsia="Times New Roman" w:cstheme="minorHAnsi"/>
              </w:rPr>
              <w:t>23</w:t>
            </w:r>
          </w:p>
        </w:tc>
        <w:tc>
          <w:tcPr>
            <w:tcW w:w="3860" w:type="pct"/>
            <w:tcBorders>
              <w:top w:val="nil"/>
              <w:left w:val="nil"/>
              <w:bottom w:val="single" w:sz="8" w:space="0" w:color="auto"/>
              <w:right w:val="single" w:sz="8" w:space="0" w:color="auto"/>
            </w:tcBorders>
            <w:shd w:val="clear" w:color="000000" w:fill="C6E0B4"/>
            <w:noWrap/>
            <w:vAlign w:val="center"/>
            <w:hideMark/>
          </w:tcPr>
          <w:p w14:paraId="34CFB5CF" w14:textId="77777777" w:rsidR="00E57FC6" w:rsidRPr="00254010" w:rsidRDefault="00E57FC6" w:rsidP="00462337">
            <w:pPr>
              <w:spacing w:before="120" w:after="120" w:line="276" w:lineRule="auto"/>
              <w:rPr>
                <w:rFonts w:eastAsia="Times New Roman" w:cstheme="minorHAnsi"/>
              </w:rPr>
            </w:pPr>
            <w:r w:rsidRPr="00254010">
              <w:rPr>
                <w:rFonts w:eastAsia="Times New Roman" w:cstheme="minorHAnsi"/>
              </w:rPr>
              <w:t>Round 1 Application Period Open</w:t>
            </w:r>
          </w:p>
        </w:tc>
        <w:tc>
          <w:tcPr>
            <w:tcW w:w="122" w:type="pct"/>
            <w:vAlign w:val="center"/>
            <w:hideMark/>
          </w:tcPr>
          <w:p w14:paraId="553F0ECA" w14:textId="77777777" w:rsidR="00E57FC6" w:rsidRPr="00254010" w:rsidRDefault="00E57FC6" w:rsidP="00462337">
            <w:pPr>
              <w:spacing w:after="0" w:line="240" w:lineRule="auto"/>
              <w:rPr>
                <w:rFonts w:eastAsia="Times New Roman" w:cstheme="minorHAnsi"/>
              </w:rPr>
            </w:pPr>
          </w:p>
        </w:tc>
      </w:tr>
      <w:tr w:rsidR="00E57FC6" w:rsidRPr="00254010" w14:paraId="47C061C2" w14:textId="77777777" w:rsidTr="00462337">
        <w:trPr>
          <w:trHeight w:val="315"/>
        </w:trPr>
        <w:tc>
          <w:tcPr>
            <w:tcW w:w="1018" w:type="pct"/>
            <w:tcBorders>
              <w:top w:val="nil"/>
              <w:left w:val="single" w:sz="8" w:space="0" w:color="auto"/>
              <w:bottom w:val="single" w:sz="8" w:space="0" w:color="auto"/>
              <w:right w:val="single" w:sz="8" w:space="0" w:color="auto"/>
            </w:tcBorders>
            <w:shd w:val="clear" w:color="000000" w:fill="C6E0B4"/>
            <w:vAlign w:val="center"/>
            <w:hideMark/>
          </w:tcPr>
          <w:p w14:paraId="50F4BD90" w14:textId="4ED7FE0D" w:rsidR="00E57FC6" w:rsidRPr="00254010" w:rsidRDefault="00E57FC6" w:rsidP="00462337">
            <w:pPr>
              <w:spacing w:before="120" w:after="120" w:line="276" w:lineRule="auto"/>
              <w:jc w:val="center"/>
              <w:rPr>
                <w:rFonts w:eastAsia="Times New Roman" w:cstheme="minorHAnsi"/>
              </w:rPr>
            </w:pPr>
            <w:r w:rsidRPr="00254010">
              <w:rPr>
                <w:rFonts w:eastAsia="Times New Roman" w:cstheme="minorHAnsi"/>
              </w:rPr>
              <w:t>6</w:t>
            </w:r>
            <w:r>
              <w:rPr>
                <w:rFonts w:eastAsia="Times New Roman" w:cstheme="minorHAnsi"/>
              </w:rPr>
              <w:t>/9</w:t>
            </w:r>
            <w:r w:rsidRPr="00254010">
              <w:rPr>
                <w:rFonts w:eastAsia="Times New Roman" w:cstheme="minorHAnsi"/>
              </w:rPr>
              <w:t>/</w:t>
            </w:r>
            <w:r w:rsidR="00D90F65">
              <w:rPr>
                <w:rFonts w:eastAsia="Times New Roman" w:cstheme="minorHAnsi"/>
              </w:rPr>
              <w:t>20</w:t>
            </w:r>
            <w:r w:rsidRPr="00254010">
              <w:rPr>
                <w:rFonts w:eastAsia="Times New Roman" w:cstheme="minorHAnsi"/>
              </w:rPr>
              <w:t>23</w:t>
            </w:r>
          </w:p>
        </w:tc>
        <w:tc>
          <w:tcPr>
            <w:tcW w:w="3860" w:type="pct"/>
            <w:tcBorders>
              <w:top w:val="nil"/>
              <w:left w:val="nil"/>
              <w:bottom w:val="single" w:sz="8" w:space="0" w:color="auto"/>
              <w:right w:val="single" w:sz="8" w:space="0" w:color="auto"/>
            </w:tcBorders>
            <w:shd w:val="clear" w:color="000000" w:fill="C6E0B4"/>
            <w:noWrap/>
            <w:vAlign w:val="center"/>
            <w:hideMark/>
          </w:tcPr>
          <w:p w14:paraId="58192CBB" w14:textId="001CA59C" w:rsidR="00E57FC6" w:rsidRPr="00254010" w:rsidRDefault="00E57FC6" w:rsidP="00462337">
            <w:pPr>
              <w:spacing w:before="120" w:after="120" w:line="276" w:lineRule="auto"/>
              <w:rPr>
                <w:rFonts w:eastAsia="Times New Roman" w:cstheme="minorHAnsi"/>
              </w:rPr>
            </w:pPr>
            <w:r w:rsidRPr="00254010">
              <w:rPr>
                <w:rFonts w:eastAsia="Times New Roman" w:cstheme="minorHAnsi"/>
              </w:rPr>
              <w:t>Round 1 Application Period Close</w:t>
            </w:r>
            <w:r>
              <w:rPr>
                <w:rFonts w:eastAsia="Times New Roman" w:cstheme="minorHAnsi"/>
              </w:rPr>
              <w:t>s</w:t>
            </w:r>
          </w:p>
        </w:tc>
        <w:tc>
          <w:tcPr>
            <w:tcW w:w="122" w:type="pct"/>
            <w:vAlign w:val="center"/>
            <w:hideMark/>
          </w:tcPr>
          <w:p w14:paraId="1FEFA602" w14:textId="77777777" w:rsidR="00E57FC6" w:rsidRPr="00254010" w:rsidRDefault="00E57FC6" w:rsidP="00462337">
            <w:pPr>
              <w:spacing w:after="0" w:line="240" w:lineRule="auto"/>
              <w:rPr>
                <w:rFonts w:eastAsia="Times New Roman" w:cstheme="minorHAnsi"/>
              </w:rPr>
            </w:pPr>
          </w:p>
        </w:tc>
      </w:tr>
      <w:tr w:rsidR="00E57FC6" w:rsidRPr="00254010" w14:paraId="3E8A473B" w14:textId="77777777" w:rsidTr="00462337">
        <w:trPr>
          <w:trHeight w:val="570"/>
        </w:trPr>
        <w:tc>
          <w:tcPr>
            <w:tcW w:w="1018" w:type="pct"/>
            <w:tcBorders>
              <w:top w:val="nil"/>
              <w:left w:val="single" w:sz="8" w:space="0" w:color="auto"/>
              <w:bottom w:val="single" w:sz="8" w:space="0" w:color="auto"/>
              <w:right w:val="single" w:sz="8" w:space="0" w:color="auto"/>
            </w:tcBorders>
            <w:shd w:val="clear" w:color="000000" w:fill="C6E0B4"/>
            <w:vAlign w:val="center"/>
            <w:hideMark/>
          </w:tcPr>
          <w:p w14:paraId="164CE2B9" w14:textId="38A69F26" w:rsidR="00E57FC6" w:rsidRPr="009C6944" w:rsidRDefault="009C6944" w:rsidP="00462337">
            <w:pPr>
              <w:spacing w:before="120" w:after="120" w:line="276" w:lineRule="auto"/>
              <w:jc w:val="center"/>
              <w:rPr>
                <w:rFonts w:eastAsia="Times New Roman" w:cstheme="minorHAnsi"/>
                <w:highlight w:val="yellow"/>
              </w:rPr>
            </w:pPr>
            <w:r w:rsidRPr="009C6944">
              <w:rPr>
                <w:rFonts w:eastAsia="Times New Roman" w:cstheme="minorHAnsi"/>
                <w:highlight w:val="yellow"/>
              </w:rPr>
              <w:t>1/1</w:t>
            </w:r>
            <w:r w:rsidR="000B54B8">
              <w:rPr>
                <w:rFonts w:eastAsia="Times New Roman" w:cstheme="minorHAnsi"/>
                <w:highlight w:val="yellow"/>
              </w:rPr>
              <w:t>7</w:t>
            </w:r>
            <w:r w:rsidR="007A15F0" w:rsidRPr="009C6944">
              <w:rPr>
                <w:rFonts w:eastAsia="Times New Roman" w:cstheme="minorHAnsi"/>
                <w:highlight w:val="yellow"/>
              </w:rPr>
              <w:t>/2024</w:t>
            </w:r>
          </w:p>
        </w:tc>
        <w:tc>
          <w:tcPr>
            <w:tcW w:w="3860" w:type="pct"/>
            <w:tcBorders>
              <w:top w:val="nil"/>
              <w:left w:val="nil"/>
              <w:bottom w:val="single" w:sz="8" w:space="0" w:color="auto"/>
              <w:right w:val="single" w:sz="8" w:space="0" w:color="auto"/>
            </w:tcBorders>
            <w:shd w:val="clear" w:color="000000" w:fill="C6E0B4"/>
            <w:noWrap/>
            <w:vAlign w:val="center"/>
            <w:hideMark/>
          </w:tcPr>
          <w:p w14:paraId="1EA28197" w14:textId="17F36B37" w:rsidR="00E57FC6" w:rsidRPr="009C6944" w:rsidRDefault="00E57FC6" w:rsidP="00462337">
            <w:pPr>
              <w:spacing w:before="120" w:after="120" w:line="276" w:lineRule="auto"/>
              <w:rPr>
                <w:rFonts w:eastAsia="Times New Roman" w:cstheme="minorHAnsi"/>
                <w:highlight w:val="yellow"/>
              </w:rPr>
            </w:pPr>
            <w:r w:rsidRPr="009C6944">
              <w:rPr>
                <w:rFonts w:eastAsia="Times New Roman" w:cstheme="minorHAnsi"/>
                <w:highlight w:val="yellow"/>
              </w:rPr>
              <w:t>Round 2 Application Period Opens</w:t>
            </w:r>
          </w:p>
        </w:tc>
        <w:tc>
          <w:tcPr>
            <w:tcW w:w="122" w:type="pct"/>
            <w:vAlign w:val="center"/>
            <w:hideMark/>
          </w:tcPr>
          <w:p w14:paraId="7DBC5EB5" w14:textId="77777777" w:rsidR="00E57FC6" w:rsidRPr="00254010" w:rsidRDefault="00E57FC6" w:rsidP="00462337">
            <w:pPr>
              <w:spacing w:after="0" w:line="240" w:lineRule="auto"/>
              <w:rPr>
                <w:rFonts w:eastAsia="Times New Roman" w:cstheme="minorHAnsi"/>
              </w:rPr>
            </w:pPr>
          </w:p>
        </w:tc>
      </w:tr>
      <w:tr w:rsidR="00E57FC6" w:rsidRPr="00254010" w14:paraId="5F0F163B" w14:textId="77777777" w:rsidTr="00462337">
        <w:trPr>
          <w:trHeight w:val="615"/>
        </w:trPr>
        <w:tc>
          <w:tcPr>
            <w:tcW w:w="1018" w:type="pct"/>
            <w:tcBorders>
              <w:top w:val="nil"/>
              <w:left w:val="single" w:sz="8" w:space="0" w:color="auto"/>
              <w:bottom w:val="single" w:sz="4" w:space="0" w:color="auto"/>
              <w:right w:val="single" w:sz="8" w:space="0" w:color="auto"/>
            </w:tcBorders>
            <w:shd w:val="clear" w:color="000000" w:fill="C6E0B4"/>
            <w:vAlign w:val="center"/>
            <w:hideMark/>
          </w:tcPr>
          <w:p w14:paraId="59DB777A" w14:textId="4956B339" w:rsidR="00E57FC6" w:rsidRPr="009C6944" w:rsidRDefault="009C6944" w:rsidP="00462337">
            <w:pPr>
              <w:spacing w:before="120" w:after="120" w:line="276" w:lineRule="auto"/>
              <w:jc w:val="center"/>
              <w:rPr>
                <w:rFonts w:eastAsia="Times New Roman" w:cstheme="minorHAnsi"/>
                <w:highlight w:val="yellow"/>
              </w:rPr>
            </w:pPr>
            <w:r w:rsidRPr="009C6944">
              <w:rPr>
                <w:rFonts w:eastAsia="Times New Roman" w:cstheme="minorHAnsi"/>
                <w:highlight w:val="yellow"/>
              </w:rPr>
              <w:t>2/29/2024</w:t>
            </w:r>
          </w:p>
        </w:tc>
        <w:tc>
          <w:tcPr>
            <w:tcW w:w="3860" w:type="pct"/>
            <w:tcBorders>
              <w:top w:val="nil"/>
              <w:left w:val="nil"/>
              <w:bottom w:val="single" w:sz="4" w:space="0" w:color="auto"/>
              <w:right w:val="single" w:sz="8" w:space="0" w:color="auto"/>
            </w:tcBorders>
            <w:shd w:val="clear" w:color="000000" w:fill="C6E0B4"/>
            <w:noWrap/>
            <w:vAlign w:val="center"/>
            <w:hideMark/>
          </w:tcPr>
          <w:p w14:paraId="53836361" w14:textId="165C867E" w:rsidR="00E57FC6" w:rsidRPr="009C6944" w:rsidRDefault="00E57FC6" w:rsidP="00462337">
            <w:pPr>
              <w:spacing w:before="120" w:after="120" w:line="276" w:lineRule="auto"/>
              <w:rPr>
                <w:rFonts w:eastAsia="Times New Roman" w:cstheme="minorHAnsi"/>
                <w:highlight w:val="yellow"/>
              </w:rPr>
            </w:pPr>
            <w:r w:rsidRPr="009C6944">
              <w:rPr>
                <w:rFonts w:eastAsia="Times New Roman" w:cstheme="minorHAnsi"/>
                <w:highlight w:val="yellow"/>
              </w:rPr>
              <w:t>Round 2 Application Period Closes</w:t>
            </w:r>
          </w:p>
        </w:tc>
        <w:tc>
          <w:tcPr>
            <w:tcW w:w="122" w:type="pct"/>
            <w:vAlign w:val="center"/>
            <w:hideMark/>
          </w:tcPr>
          <w:p w14:paraId="732B4BFD" w14:textId="77777777" w:rsidR="00E57FC6" w:rsidRPr="00254010" w:rsidRDefault="00E57FC6" w:rsidP="00462337">
            <w:pPr>
              <w:spacing w:after="0" w:line="240" w:lineRule="auto"/>
              <w:rPr>
                <w:rFonts w:eastAsia="Times New Roman" w:cstheme="minorHAnsi"/>
              </w:rPr>
            </w:pPr>
          </w:p>
        </w:tc>
      </w:tr>
    </w:tbl>
    <w:p w14:paraId="10096A9C" w14:textId="544BAD13" w:rsidR="00983D13" w:rsidRDefault="00983D13" w:rsidP="00F818F5"/>
    <w:p w14:paraId="763B99E6" w14:textId="5C2BBEC3" w:rsidR="00983D13" w:rsidRDefault="00983D13" w:rsidP="00F818F5"/>
    <w:p w14:paraId="15421B87" w14:textId="2426D7F8" w:rsidR="00462337" w:rsidRDefault="00462337" w:rsidP="00F818F5"/>
    <w:p w14:paraId="4ECB63F2" w14:textId="6779640A" w:rsidR="00462337" w:rsidRPr="00F818F5" w:rsidRDefault="00462337" w:rsidP="00F818F5">
      <w:bookmarkStart w:id="40" w:name="_Exhibit_A:_Sample"/>
      <w:bookmarkEnd w:id="40"/>
    </w:p>
    <w:sectPr w:rsidR="00462337" w:rsidRPr="00F818F5" w:rsidSect="00F3028D">
      <w:headerReference w:type="default" r:id="rId24"/>
      <w:footerReference w:type="default" r:id="rId2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52AA5" w14:textId="77777777" w:rsidR="008E5E44" w:rsidRDefault="008E5E44" w:rsidP="00F818F5">
      <w:pPr>
        <w:spacing w:after="0" w:line="240" w:lineRule="auto"/>
      </w:pPr>
      <w:r>
        <w:separator/>
      </w:r>
    </w:p>
  </w:endnote>
  <w:endnote w:type="continuationSeparator" w:id="0">
    <w:p w14:paraId="040ED653" w14:textId="77777777" w:rsidR="008E5E44" w:rsidRDefault="008E5E44" w:rsidP="00F81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6427160"/>
      <w:docPartObj>
        <w:docPartGallery w:val="Page Numbers (Bottom of Page)"/>
        <w:docPartUnique/>
      </w:docPartObj>
    </w:sdtPr>
    <w:sdtEndPr/>
    <w:sdtContent>
      <w:sdt>
        <w:sdtPr>
          <w:id w:val="1728636285"/>
          <w:docPartObj>
            <w:docPartGallery w:val="Page Numbers (Top of Page)"/>
            <w:docPartUnique/>
          </w:docPartObj>
        </w:sdtPr>
        <w:sdtEndPr/>
        <w:sdtContent>
          <w:p w14:paraId="0583BFC5" w14:textId="48695E26" w:rsidR="00F3028D" w:rsidRDefault="00F302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79D660E" w14:textId="77777777" w:rsidR="00F3028D" w:rsidRDefault="00F30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A512E" w14:textId="77777777" w:rsidR="008E5E44" w:rsidRDefault="008E5E44" w:rsidP="00F818F5">
      <w:pPr>
        <w:spacing w:after="0" w:line="240" w:lineRule="auto"/>
      </w:pPr>
      <w:r>
        <w:separator/>
      </w:r>
    </w:p>
  </w:footnote>
  <w:footnote w:type="continuationSeparator" w:id="0">
    <w:p w14:paraId="14F6DC72" w14:textId="77777777" w:rsidR="008E5E44" w:rsidRDefault="008E5E44" w:rsidP="00F818F5">
      <w:pPr>
        <w:spacing w:after="0" w:line="240" w:lineRule="auto"/>
      </w:pPr>
      <w:r>
        <w:continuationSeparator/>
      </w:r>
    </w:p>
  </w:footnote>
  <w:footnote w:id="1">
    <w:p w14:paraId="35D9D5E4" w14:textId="27A31883" w:rsidR="009C6944" w:rsidRPr="00722A9B" w:rsidRDefault="009C6944" w:rsidP="009C6944">
      <w:pPr>
        <w:spacing w:before="100" w:beforeAutospacing="1" w:after="100" w:afterAutospacing="1" w:line="240" w:lineRule="auto"/>
        <w:rPr>
          <w:rFonts w:eastAsia="Times New Roman" w:cstheme="minorHAnsi"/>
          <w:color w:val="0A0A0A"/>
        </w:rPr>
      </w:pPr>
      <w:r>
        <w:rPr>
          <w:rStyle w:val="FootnoteReference"/>
        </w:rPr>
        <w:footnoteRef/>
      </w:r>
      <w:r>
        <w:t xml:space="preserve"> </w:t>
      </w:r>
      <w:r w:rsidRPr="00722A9B">
        <w:rPr>
          <w:rFonts w:eastAsia="Times New Roman" w:cstheme="minorHAnsi"/>
          <w:color w:val="0A0A0A"/>
          <w:highlight w:val="yellow"/>
        </w:rPr>
        <w:t>Starting in Spring 2024, the Alliance of Indiana Rural Water will assist utilities serving &lt;1000 service connections with hydro</w:t>
      </w:r>
      <w:r w:rsidR="007022C4">
        <w:rPr>
          <w:rFonts w:eastAsia="Times New Roman" w:cstheme="minorHAnsi"/>
          <w:color w:val="0A0A0A"/>
          <w:highlight w:val="yellow"/>
        </w:rPr>
        <w:t>-exca</w:t>
      </w:r>
      <w:r w:rsidRPr="00722A9B">
        <w:rPr>
          <w:rFonts w:eastAsia="Times New Roman" w:cstheme="minorHAnsi"/>
          <w:color w:val="0A0A0A"/>
          <w:highlight w:val="yellow"/>
        </w:rPr>
        <w:t>v</w:t>
      </w:r>
      <w:r w:rsidR="007022C4">
        <w:rPr>
          <w:rFonts w:eastAsia="Times New Roman" w:cstheme="minorHAnsi"/>
          <w:color w:val="0A0A0A"/>
          <w:highlight w:val="yellow"/>
        </w:rPr>
        <w:t>ation</w:t>
      </w:r>
      <w:r w:rsidRPr="00722A9B">
        <w:rPr>
          <w:rFonts w:eastAsia="Times New Roman" w:cstheme="minorHAnsi"/>
          <w:color w:val="0A0A0A"/>
          <w:highlight w:val="yellow"/>
        </w:rPr>
        <w:t xml:space="preserve"> needs related to validation. To apply, register at the </w:t>
      </w:r>
      <w:hyperlink r:id="rId1" w:history="1">
        <w:r w:rsidRPr="00722A9B">
          <w:rPr>
            <w:rFonts w:eastAsia="Times New Roman" w:cstheme="minorHAnsi"/>
            <w:color w:val="426082"/>
            <w:highlight w:val="yellow"/>
            <w:u w:val="single"/>
          </w:rPr>
          <w:t>Alliance’s Lead Inventory Technical Assistance website</w:t>
        </w:r>
      </w:hyperlink>
      <w:r w:rsidRPr="00722A9B">
        <w:rPr>
          <w:rFonts w:eastAsia="Times New Roman" w:cstheme="minorHAnsi"/>
          <w:color w:val="0A0A0A"/>
          <w:highlight w:val="yellow"/>
        </w:rPr>
        <w:t>.</w:t>
      </w:r>
    </w:p>
    <w:p w14:paraId="3446E960" w14:textId="00EF50FE" w:rsidR="009C6944" w:rsidRDefault="009C6944">
      <w:pPr>
        <w:pStyle w:val="FootnoteText"/>
      </w:pPr>
    </w:p>
  </w:footnote>
  <w:footnote w:id="2">
    <w:p w14:paraId="3E7B0C5A" w14:textId="5C093C3B" w:rsidR="0059274A" w:rsidRDefault="0059274A">
      <w:pPr>
        <w:pStyle w:val="FootnoteText"/>
      </w:pPr>
      <w:r>
        <w:rPr>
          <w:rStyle w:val="FootnoteReference"/>
        </w:rPr>
        <w:footnoteRef/>
      </w:r>
      <w:r>
        <w:t xml:space="preserve"> According to the 2017-2021 American Community Five Year Survey of the US Census</w:t>
      </w:r>
    </w:p>
  </w:footnote>
  <w:footnote w:id="3">
    <w:p w14:paraId="1649D73E" w14:textId="30A67D34" w:rsidR="00A3226D" w:rsidRDefault="00A3226D">
      <w:pPr>
        <w:pStyle w:val="FootnoteText"/>
      </w:pPr>
      <w:r>
        <w:rPr>
          <w:rStyle w:val="FootnoteReference"/>
        </w:rPr>
        <w:footnoteRef/>
      </w:r>
      <w:r>
        <w:t xml:space="preserve"> A </w:t>
      </w:r>
      <w:r w:rsidRPr="00A3226D">
        <w:t xml:space="preserve">Disadvantaged </w:t>
      </w:r>
      <w:r w:rsidR="00C37B5E">
        <w:t>Community</w:t>
      </w:r>
      <w:r w:rsidRPr="00A3226D">
        <w:t xml:space="preserve"> is defined by the IFA</w:t>
      </w:r>
      <w:r w:rsidR="00C37B5E">
        <w:t xml:space="preserve"> </w:t>
      </w:r>
      <w:r w:rsidRPr="00A3226D">
        <w:t xml:space="preserve">Drinking Water </w:t>
      </w:r>
      <w:r w:rsidR="00C37B5E">
        <w:t xml:space="preserve">State Revolving Fund Loan Program’s </w:t>
      </w:r>
      <w:r w:rsidR="00C37B5E" w:rsidRPr="00A3226D">
        <w:t xml:space="preserve">Intended Use Plan </w:t>
      </w:r>
      <w:r w:rsidRPr="00A3226D">
        <w:t>as a population with a median household income below 80% of the State median household income</w:t>
      </w:r>
      <w:r w:rsidR="00C37B5E">
        <w:t xml:space="preserve"> as established by 2017-2021 American Community Five Year Survey</w:t>
      </w:r>
      <w:r>
        <w:t>.</w:t>
      </w:r>
      <w:r w:rsidRPr="00A3226D">
        <w:t xml:space="preserve"> For State Fiscal Year 2024, this threshold is $49,555 or less.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84905" w14:textId="53766B1A" w:rsidR="00A4758C" w:rsidRDefault="00F3028D">
    <w:pPr>
      <w:pStyle w:val="Header"/>
    </w:pPr>
    <w:r>
      <w:t>IFA LSLI Funding Program Guidance</w:t>
    </w:r>
  </w:p>
  <w:p w14:paraId="00297D49" w14:textId="40D60ABA" w:rsidR="00F3028D" w:rsidRDefault="00A4758C">
    <w:pPr>
      <w:pStyle w:val="Header"/>
    </w:pPr>
    <w:r>
      <w:rPr>
        <w:b/>
        <w:bCs/>
        <w:noProof/>
      </w:rPr>
      <mc:AlternateContent>
        <mc:Choice Requires="wps">
          <w:drawing>
            <wp:anchor distT="0" distB="0" distL="114300" distR="114300" simplePos="0" relativeHeight="251659264" behindDoc="0" locked="0" layoutInCell="1" allowOverlap="1" wp14:anchorId="6E66471A" wp14:editId="64C29FDD">
              <wp:simplePos x="0" y="0"/>
              <wp:positionH relativeFrom="column">
                <wp:posOffset>0</wp:posOffset>
              </wp:positionH>
              <wp:positionV relativeFrom="paragraph">
                <wp:posOffset>-635</wp:posOffset>
              </wp:positionV>
              <wp:extent cx="64008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4EDF1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7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" strokecolor="#4472c4 [3204]" strokeweight=".5pt">
              <v:stroke joinstyle="miter"/>
            </v:line>
          </w:pict>
        </mc:Fallback>
      </mc:AlternateContent>
    </w:r>
    <w:r w:rsidR="00F3028D">
      <w:tab/>
    </w:r>
    <w:r w:rsidR="00F3028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B54"/>
    <w:multiLevelType w:val="hybridMultilevel"/>
    <w:tmpl w:val="38E29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C14A1"/>
    <w:multiLevelType w:val="hybridMultilevel"/>
    <w:tmpl w:val="20860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B11B1A"/>
    <w:multiLevelType w:val="multilevel"/>
    <w:tmpl w:val="385CA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Wingdings" w:eastAsia="Times New Roman" w:hAnsi="Wingdings" w:cs="Arial" w:hint="default"/>
      </w:rPr>
    </w:lvl>
    <w:lvl w:ilvl="3">
      <w:numFmt w:val="bullet"/>
      <w:lvlText w:val="-"/>
      <w:lvlJc w:val="left"/>
      <w:pPr>
        <w:ind w:left="2880" w:hanging="360"/>
      </w:pPr>
      <w:rPr>
        <w:rFonts w:ascii="Arial" w:eastAsia="Times New Roman" w:hAnsi="Arial" w:cs="Arial" w:hint="default"/>
        <w:color w:val="2C3E50"/>
        <w:sz w:val="21"/>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64E23"/>
    <w:multiLevelType w:val="hybridMultilevel"/>
    <w:tmpl w:val="564C0BF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7361D78"/>
    <w:multiLevelType w:val="hybridMultilevel"/>
    <w:tmpl w:val="9C20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1A73"/>
    <w:multiLevelType w:val="hybridMultilevel"/>
    <w:tmpl w:val="12E67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571CB"/>
    <w:multiLevelType w:val="hybridMultilevel"/>
    <w:tmpl w:val="732CC6EE"/>
    <w:lvl w:ilvl="0" w:tplc="8B2C7F80">
      <w:start w:val="1"/>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0D9B"/>
    <w:multiLevelType w:val="hybridMultilevel"/>
    <w:tmpl w:val="42B0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A209E"/>
    <w:multiLevelType w:val="multilevel"/>
    <w:tmpl w:val="ECDE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766EAF"/>
    <w:multiLevelType w:val="multilevel"/>
    <w:tmpl w:val="F56CF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72871"/>
    <w:multiLevelType w:val="multilevel"/>
    <w:tmpl w:val="52A2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9B0CB0"/>
    <w:multiLevelType w:val="hybridMultilevel"/>
    <w:tmpl w:val="00AC106E"/>
    <w:lvl w:ilvl="0" w:tplc="8B2C7F80">
      <w:start w:val="1"/>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E17071"/>
    <w:multiLevelType w:val="hybridMultilevel"/>
    <w:tmpl w:val="25324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A40BC"/>
    <w:multiLevelType w:val="hybridMultilevel"/>
    <w:tmpl w:val="0142B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60E24"/>
    <w:multiLevelType w:val="hybridMultilevel"/>
    <w:tmpl w:val="5108FD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0F5ABD"/>
    <w:multiLevelType w:val="hybridMultilevel"/>
    <w:tmpl w:val="F0E8B0A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DE306A9"/>
    <w:multiLevelType w:val="hybridMultilevel"/>
    <w:tmpl w:val="6D189298"/>
    <w:lvl w:ilvl="0" w:tplc="8B2C7F80">
      <w:start w:val="1"/>
      <w:numFmt w:val="bullet"/>
      <w:lvlText w:val="-"/>
      <w:lvlJc w:val="left"/>
      <w:pPr>
        <w:ind w:left="1080" w:hanging="360"/>
      </w:pPr>
      <w:rPr>
        <w:rFonts w:ascii="Calibri" w:eastAsia="Times New Roman" w:hAnsi="Calibri" w:cs="Calibri"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7D200E"/>
    <w:multiLevelType w:val="hybridMultilevel"/>
    <w:tmpl w:val="8E14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67120"/>
    <w:multiLevelType w:val="hybridMultilevel"/>
    <w:tmpl w:val="2E561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CD53AA"/>
    <w:multiLevelType w:val="hybridMultilevel"/>
    <w:tmpl w:val="B5786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C96500"/>
    <w:multiLevelType w:val="hybridMultilevel"/>
    <w:tmpl w:val="564C0BF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932631F"/>
    <w:multiLevelType w:val="hybridMultilevel"/>
    <w:tmpl w:val="B96A85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616394"/>
    <w:multiLevelType w:val="multilevel"/>
    <w:tmpl w:val="BAAE38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92653"/>
    <w:multiLevelType w:val="hybridMultilevel"/>
    <w:tmpl w:val="F5544444"/>
    <w:lvl w:ilvl="0" w:tplc="8B2C7F80">
      <w:start w:val="1"/>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F77B6"/>
    <w:multiLevelType w:val="hybridMultilevel"/>
    <w:tmpl w:val="F6F6E1BC"/>
    <w:lvl w:ilvl="0" w:tplc="B0A41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4C5D3F"/>
    <w:multiLevelType w:val="hybridMultilevel"/>
    <w:tmpl w:val="BD727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535E1"/>
    <w:multiLevelType w:val="multilevel"/>
    <w:tmpl w:val="6ACA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8C0F8A"/>
    <w:multiLevelType w:val="hybridMultilevel"/>
    <w:tmpl w:val="0142BF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5464591">
    <w:abstractNumId w:val="22"/>
  </w:num>
  <w:num w:numId="2" w16cid:durableId="2004893197">
    <w:abstractNumId w:val="2"/>
  </w:num>
  <w:num w:numId="3" w16cid:durableId="1150709890">
    <w:abstractNumId w:val="26"/>
  </w:num>
  <w:num w:numId="4" w16cid:durableId="43409821">
    <w:abstractNumId w:val="10"/>
  </w:num>
  <w:num w:numId="5" w16cid:durableId="515071859">
    <w:abstractNumId w:val="9"/>
  </w:num>
  <w:num w:numId="6" w16cid:durableId="2139184274">
    <w:abstractNumId w:val="8"/>
  </w:num>
  <w:num w:numId="7" w16cid:durableId="1331369185">
    <w:abstractNumId w:val="13"/>
  </w:num>
  <w:num w:numId="8" w16cid:durableId="1360279080">
    <w:abstractNumId w:val="18"/>
  </w:num>
  <w:num w:numId="9" w16cid:durableId="1469006270">
    <w:abstractNumId w:val="17"/>
  </w:num>
  <w:num w:numId="10" w16cid:durableId="121310540">
    <w:abstractNumId w:val="23"/>
  </w:num>
  <w:num w:numId="11" w16cid:durableId="1384135457">
    <w:abstractNumId w:val="6"/>
  </w:num>
  <w:num w:numId="12" w16cid:durableId="1943300081">
    <w:abstractNumId w:val="16"/>
  </w:num>
  <w:num w:numId="13" w16cid:durableId="2088723283">
    <w:abstractNumId w:val="11"/>
  </w:num>
  <w:num w:numId="14" w16cid:durableId="1188760483">
    <w:abstractNumId w:val="27"/>
  </w:num>
  <w:num w:numId="15" w16cid:durableId="1007756699">
    <w:abstractNumId w:val="24"/>
  </w:num>
  <w:num w:numId="16" w16cid:durableId="657154274">
    <w:abstractNumId w:val="0"/>
  </w:num>
  <w:num w:numId="17" w16cid:durableId="541018953">
    <w:abstractNumId w:val="1"/>
  </w:num>
  <w:num w:numId="18" w16cid:durableId="938872773">
    <w:abstractNumId w:val="5"/>
  </w:num>
  <w:num w:numId="19" w16cid:durableId="734397564">
    <w:abstractNumId w:val="7"/>
  </w:num>
  <w:num w:numId="20" w16cid:durableId="1716545249">
    <w:abstractNumId w:val="4"/>
  </w:num>
  <w:num w:numId="21" w16cid:durableId="1540624773">
    <w:abstractNumId w:val="25"/>
  </w:num>
  <w:num w:numId="22" w16cid:durableId="372654018">
    <w:abstractNumId w:val="14"/>
  </w:num>
  <w:num w:numId="23" w16cid:durableId="1182474624">
    <w:abstractNumId w:val="21"/>
  </w:num>
  <w:num w:numId="24" w16cid:durableId="1424258938">
    <w:abstractNumId w:val="19"/>
  </w:num>
  <w:num w:numId="25" w16cid:durableId="1797527630">
    <w:abstractNumId w:val="3"/>
  </w:num>
  <w:num w:numId="26" w16cid:durableId="1159426261">
    <w:abstractNumId w:val="15"/>
  </w:num>
  <w:num w:numId="27" w16cid:durableId="1876306560">
    <w:abstractNumId w:val="20"/>
  </w:num>
  <w:num w:numId="28" w16cid:durableId="44573597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F5"/>
    <w:rsid w:val="0002346E"/>
    <w:rsid w:val="0003199F"/>
    <w:rsid w:val="00033E69"/>
    <w:rsid w:val="0003641B"/>
    <w:rsid w:val="00045403"/>
    <w:rsid w:val="00047BB1"/>
    <w:rsid w:val="00051F75"/>
    <w:rsid w:val="00071E42"/>
    <w:rsid w:val="00072908"/>
    <w:rsid w:val="00075BB8"/>
    <w:rsid w:val="000835C8"/>
    <w:rsid w:val="00086DF4"/>
    <w:rsid w:val="000905B3"/>
    <w:rsid w:val="00093BF9"/>
    <w:rsid w:val="000A212C"/>
    <w:rsid w:val="000B0C5E"/>
    <w:rsid w:val="000B54B8"/>
    <w:rsid w:val="000B7E2D"/>
    <w:rsid w:val="000C33CB"/>
    <w:rsid w:val="000C4292"/>
    <w:rsid w:val="000D2486"/>
    <w:rsid w:val="000D6A11"/>
    <w:rsid w:val="000D73F9"/>
    <w:rsid w:val="000D7CEE"/>
    <w:rsid w:val="000E0601"/>
    <w:rsid w:val="000E474A"/>
    <w:rsid w:val="000F27B0"/>
    <w:rsid w:val="000F5019"/>
    <w:rsid w:val="000F692B"/>
    <w:rsid w:val="00100B3D"/>
    <w:rsid w:val="00104451"/>
    <w:rsid w:val="001226C9"/>
    <w:rsid w:val="00124EA7"/>
    <w:rsid w:val="001250B4"/>
    <w:rsid w:val="0012692D"/>
    <w:rsid w:val="0013438E"/>
    <w:rsid w:val="00140693"/>
    <w:rsid w:val="00140FFB"/>
    <w:rsid w:val="001426A1"/>
    <w:rsid w:val="00144BFD"/>
    <w:rsid w:val="00145A0D"/>
    <w:rsid w:val="001468D2"/>
    <w:rsid w:val="00167A72"/>
    <w:rsid w:val="00187261"/>
    <w:rsid w:val="001A22B9"/>
    <w:rsid w:val="001A7F66"/>
    <w:rsid w:val="001B178D"/>
    <w:rsid w:val="001B6624"/>
    <w:rsid w:val="001B662C"/>
    <w:rsid w:val="001D09AE"/>
    <w:rsid w:val="001D741B"/>
    <w:rsid w:val="001E34A4"/>
    <w:rsid w:val="001E5779"/>
    <w:rsid w:val="001E5AEA"/>
    <w:rsid w:val="00206F44"/>
    <w:rsid w:val="002140F6"/>
    <w:rsid w:val="00224A9C"/>
    <w:rsid w:val="0022533A"/>
    <w:rsid w:val="002257C5"/>
    <w:rsid w:val="00225A29"/>
    <w:rsid w:val="00226526"/>
    <w:rsid w:val="0023107E"/>
    <w:rsid w:val="0023230C"/>
    <w:rsid w:val="00232BD5"/>
    <w:rsid w:val="00245577"/>
    <w:rsid w:val="00246D2B"/>
    <w:rsid w:val="00247AD6"/>
    <w:rsid w:val="002500E4"/>
    <w:rsid w:val="00254010"/>
    <w:rsid w:val="00267019"/>
    <w:rsid w:val="0026729C"/>
    <w:rsid w:val="00267CE9"/>
    <w:rsid w:val="00275F24"/>
    <w:rsid w:val="00276A28"/>
    <w:rsid w:val="002A3A21"/>
    <w:rsid w:val="002A6A8B"/>
    <w:rsid w:val="002B6994"/>
    <w:rsid w:val="002B72CA"/>
    <w:rsid w:val="002C116C"/>
    <w:rsid w:val="002C7020"/>
    <w:rsid w:val="002D3546"/>
    <w:rsid w:val="002E66FF"/>
    <w:rsid w:val="00313383"/>
    <w:rsid w:val="00317E2E"/>
    <w:rsid w:val="003347A0"/>
    <w:rsid w:val="00345C02"/>
    <w:rsid w:val="00346632"/>
    <w:rsid w:val="00352461"/>
    <w:rsid w:val="003605F6"/>
    <w:rsid w:val="0036303A"/>
    <w:rsid w:val="0036623C"/>
    <w:rsid w:val="0038333B"/>
    <w:rsid w:val="0038558C"/>
    <w:rsid w:val="003933EE"/>
    <w:rsid w:val="00393A61"/>
    <w:rsid w:val="003956BA"/>
    <w:rsid w:val="003958ED"/>
    <w:rsid w:val="003A1891"/>
    <w:rsid w:val="003A1F08"/>
    <w:rsid w:val="003A1F9C"/>
    <w:rsid w:val="003A30CE"/>
    <w:rsid w:val="003A4BB0"/>
    <w:rsid w:val="003A6145"/>
    <w:rsid w:val="003B2F77"/>
    <w:rsid w:val="003B7315"/>
    <w:rsid w:val="003D02AC"/>
    <w:rsid w:val="003D043B"/>
    <w:rsid w:val="003D0A63"/>
    <w:rsid w:val="003E6216"/>
    <w:rsid w:val="00405910"/>
    <w:rsid w:val="00405BED"/>
    <w:rsid w:val="00412FEC"/>
    <w:rsid w:val="004163E7"/>
    <w:rsid w:val="00420F29"/>
    <w:rsid w:val="004305A5"/>
    <w:rsid w:val="00462337"/>
    <w:rsid w:val="00466F41"/>
    <w:rsid w:val="00467A10"/>
    <w:rsid w:val="00470B30"/>
    <w:rsid w:val="00472E4B"/>
    <w:rsid w:val="00473D7F"/>
    <w:rsid w:val="00474A61"/>
    <w:rsid w:val="00484226"/>
    <w:rsid w:val="00492C15"/>
    <w:rsid w:val="00496B10"/>
    <w:rsid w:val="004970FD"/>
    <w:rsid w:val="004A21FB"/>
    <w:rsid w:val="004A2768"/>
    <w:rsid w:val="004A3FC0"/>
    <w:rsid w:val="004B5229"/>
    <w:rsid w:val="004C201E"/>
    <w:rsid w:val="004E25EB"/>
    <w:rsid w:val="004E37AE"/>
    <w:rsid w:val="004F3A1B"/>
    <w:rsid w:val="0050001F"/>
    <w:rsid w:val="00506083"/>
    <w:rsid w:val="005130B2"/>
    <w:rsid w:val="00515D6B"/>
    <w:rsid w:val="005301BA"/>
    <w:rsid w:val="005307A4"/>
    <w:rsid w:val="00530A48"/>
    <w:rsid w:val="0054000A"/>
    <w:rsid w:val="0054104F"/>
    <w:rsid w:val="005555F5"/>
    <w:rsid w:val="00556975"/>
    <w:rsid w:val="00556A3D"/>
    <w:rsid w:val="00567287"/>
    <w:rsid w:val="005745C3"/>
    <w:rsid w:val="00575AFC"/>
    <w:rsid w:val="00576E8A"/>
    <w:rsid w:val="00587418"/>
    <w:rsid w:val="0059274A"/>
    <w:rsid w:val="00594E13"/>
    <w:rsid w:val="005A1E21"/>
    <w:rsid w:val="005A4CDF"/>
    <w:rsid w:val="005A5809"/>
    <w:rsid w:val="005B094E"/>
    <w:rsid w:val="005B5B13"/>
    <w:rsid w:val="005B7E87"/>
    <w:rsid w:val="005C6211"/>
    <w:rsid w:val="005C7912"/>
    <w:rsid w:val="005D3BBE"/>
    <w:rsid w:val="005E424A"/>
    <w:rsid w:val="005F0BCB"/>
    <w:rsid w:val="005F140B"/>
    <w:rsid w:val="005F35FF"/>
    <w:rsid w:val="0060431B"/>
    <w:rsid w:val="00617450"/>
    <w:rsid w:val="006253B5"/>
    <w:rsid w:val="006269CC"/>
    <w:rsid w:val="00632A33"/>
    <w:rsid w:val="00632EB2"/>
    <w:rsid w:val="0066015B"/>
    <w:rsid w:val="006712A7"/>
    <w:rsid w:val="006816E6"/>
    <w:rsid w:val="00692192"/>
    <w:rsid w:val="00692505"/>
    <w:rsid w:val="00696CDF"/>
    <w:rsid w:val="006975FE"/>
    <w:rsid w:val="006A04E3"/>
    <w:rsid w:val="006A26F6"/>
    <w:rsid w:val="006A5071"/>
    <w:rsid w:val="006B1D47"/>
    <w:rsid w:val="006B6198"/>
    <w:rsid w:val="006B6455"/>
    <w:rsid w:val="006B7418"/>
    <w:rsid w:val="006C28C3"/>
    <w:rsid w:val="006C7314"/>
    <w:rsid w:val="006D37A2"/>
    <w:rsid w:val="006D5CE8"/>
    <w:rsid w:val="006D62E8"/>
    <w:rsid w:val="006E0555"/>
    <w:rsid w:val="006E5C5E"/>
    <w:rsid w:val="006E735A"/>
    <w:rsid w:val="006F1801"/>
    <w:rsid w:val="006F2037"/>
    <w:rsid w:val="00700200"/>
    <w:rsid w:val="007022C4"/>
    <w:rsid w:val="0070327F"/>
    <w:rsid w:val="00704535"/>
    <w:rsid w:val="00706E2F"/>
    <w:rsid w:val="00720A07"/>
    <w:rsid w:val="00722A9B"/>
    <w:rsid w:val="00724C06"/>
    <w:rsid w:val="00726BCE"/>
    <w:rsid w:val="0076741F"/>
    <w:rsid w:val="00771046"/>
    <w:rsid w:val="0077231C"/>
    <w:rsid w:val="00773940"/>
    <w:rsid w:val="00774952"/>
    <w:rsid w:val="0077627C"/>
    <w:rsid w:val="00780530"/>
    <w:rsid w:val="007852F8"/>
    <w:rsid w:val="007861AC"/>
    <w:rsid w:val="00791C6C"/>
    <w:rsid w:val="007A10DB"/>
    <w:rsid w:val="007A15F0"/>
    <w:rsid w:val="007A5AAE"/>
    <w:rsid w:val="007B65C5"/>
    <w:rsid w:val="007C4C1D"/>
    <w:rsid w:val="007C7793"/>
    <w:rsid w:val="007D1D02"/>
    <w:rsid w:val="007E3403"/>
    <w:rsid w:val="007E5538"/>
    <w:rsid w:val="007F4F53"/>
    <w:rsid w:val="007F5DF7"/>
    <w:rsid w:val="007F6A31"/>
    <w:rsid w:val="00801A02"/>
    <w:rsid w:val="00803465"/>
    <w:rsid w:val="0080586F"/>
    <w:rsid w:val="008147C4"/>
    <w:rsid w:val="0081571E"/>
    <w:rsid w:val="00820761"/>
    <w:rsid w:val="00820FFE"/>
    <w:rsid w:val="00834639"/>
    <w:rsid w:val="00835B66"/>
    <w:rsid w:val="008374F4"/>
    <w:rsid w:val="008413A3"/>
    <w:rsid w:val="00841615"/>
    <w:rsid w:val="008453D6"/>
    <w:rsid w:val="008501ED"/>
    <w:rsid w:val="008524EE"/>
    <w:rsid w:val="00852B25"/>
    <w:rsid w:val="0086026F"/>
    <w:rsid w:val="008608B9"/>
    <w:rsid w:val="0087581E"/>
    <w:rsid w:val="00882117"/>
    <w:rsid w:val="00882FF9"/>
    <w:rsid w:val="008A057D"/>
    <w:rsid w:val="008A3253"/>
    <w:rsid w:val="008A61BF"/>
    <w:rsid w:val="008A6437"/>
    <w:rsid w:val="008B55B0"/>
    <w:rsid w:val="008B7EEF"/>
    <w:rsid w:val="008C00F1"/>
    <w:rsid w:val="008C3941"/>
    <w:rsid w:val="008C3DBE"/>
    <w:rsid w:val="008C5252"/>
    <w:rsid w:val="008C5902"/>
    <w:rsid w:val="008C611F"/>
    <w:rsid w:val="008C6C58"/>
    <w:rsid w:val="008D073D"/>
    <w:rsid w:val="008D1ED9"/>
    <w:rsid w:val="008E5E44"/>
    <w:rsid w:val="008F5362"/>
    <w:rsid w:val="00902825"/>
    <w:rsid w:val="009046E9"/>
    <w:rsid w:val="0090728D"/>
    <w:rsid w:val="009077D0"/>
    <w:rsid w:val="009105EE"/>
    <w:rsid w:val="00910AF4"/>
    <w:rsid w:val="00916380"/>
    <w:rsid w:val="0092596A"/>
    <w:rsid w:val="009306BF"/>
    <w:rsid w:val="009311CB"/>
    <w:rsid w:val="0093426C"/>
    <w:rsid w:val="00936BC6"/>
    <w:rsid w:val="00940625"/>
    <w:rsid w:val="00947D0A"/>
    <w:rsid w:val="00955405"/>
    <w:rsid w:val="0096244C"/>
    <w:rsid w:val="0097671A"/>
    <w:rsid w:val="00976ED5"/>
    <w:rsid w:val="00977E9B"/>
    <w:rsid w:val="00983D13"/>
    <w:rsid w:val="00985805"/>
    <w:rsid w:val="009909DA"/>
    <w:rsid w:val="00993BF0"/>
    <w:rsid w:val="009A04A2"/>
    <w:rsid w:val="009A2B2A"/>
    <w:rsid w:val="009A79F2"/>
    <w:rsid w:val="009B116B"/>
    <w:rsid w:val="009C3D99"/>
    <w:rsid w:val="009C6944"/>
    <w:rsid w:val="009C70D9"/>
    <w:rsid w:val="009D32FB"/>
    <w:rsid w:val="009E0A91"/>
    <w:rsid w:val="00A110C7"/>
    <w:rsid w:val="00A13152"/>
    <w:rsid w:val="00A17D49"/>
    <w:rsid w:val="00A222DF"/>
    <w:rsid w:val="00A25B30"/>
    <w:rsid w:val="00A301A6"/>
    <w:rsid w:val="00A3226D"/>
    <w:rsid w:val="00A3592F"/>
    <w:rsid w:val="00A415BF"/>
    <w:rsid w:val="00A41B2E"/>
    <w:rsid w:val="00A4758C"/>
    <w:rsid w:val="00A57697"/>
    <w:rsid w:val="00A655C6"/>
    <w:rsid w:val="00A8189F"/>
    <w:rsid w:val="00A83E97"/>
    <w:rsid w:val="00A95C9A"/>
    <w:rsid w:val="00A97CC5"/>
    <w:rsid w:val="00AA0C5D"/>
    <w:rsid w:val="00AA5B2F"/>
    <w:rsid w:val="00AB336F"/>
    <w:rsid w:val="00AB3EB2"/>
    <w:rsid w:val="00AB4509"/>
    <w:rsid w:val="00AC1665"/>
    <w:rsid w:val="00AD61A9"/>
    <w:rsid w:val="00AD653C"/>
    <w:rsid w:val="00AE6B68"/>
    <w:rsid w:val="00AF1C30"/>
    <w:rsid w:val="00AF2EE7"/>
    <w:rsid w:val="00AF3168"/>
    <w:rsid w:val="00AF50ED"/>
    <w:rsid w:val="00B01BF6"/>
    <w:rsid w:val="00B02BDF"/>
    <w:rsid w:val="00B13293"/>
    <w:rsid w:val="00B14ADD"/>
    <w:rsid w:val="00B15193"/>
    <w:rsid w:val="00B247E6"/>
    <w:rsid w:val="00B2578B"/>
    <w:rsid w:val="00B40B02"/>
    <w:rsid w:val="00B46CA3"/>
    <w:rsid w:val="00B50079"/>
    <w:rsid w:val="00B56E42"/>
    <w:rsid w:val="00B57B56"/>
    <w:rsid w:val="00B7325F"/>
    <w:rsid w:val="00B73E59"/>
    <w:rsid w:val="00B7688C"/>
    <w:rsid w:val="00B817DC"/>
    <w:rsid w:val="00B8683A"/>
    <w:rsid w:val="00B94458"/>
    <w:rsid w:val="00B96C15"/>
    <w:rsid w:val="00B97C77"/>
    <w:rsid w:val="00BA1B15"/>
    <w:rsid w:val="00BA4CFE"/>
    <w:rsid w:val="00BA5676"/>
    <w:rsid w:val="00BA59D0"/>
    <w:rsid w:val="00BB001B"/>
    <w:rsid w:val="00BB2208"/>
    <w:rsid w:val="00BB58F9"/>
    <w:rsid w:val="00BC354E"/>
    <w:rsid w:val="00BD043F"/>
    <w:rsid w:val="00BE2014"/>
    <w:rsid w:val="00BF0319"/>
    <w:rsid w:val="00BF6BD8"/>
    <w:rsid w:val="00C033B1"/>
    <w:rsid w:val="00C22BA8"/>
    <w:rsid w:val="00C32E9B"/>
    <w:rsid w:val="00C37B5E"/>
    <w:rsid w:val="00C37E24"/>
    <w:rsid w:val="00C42AAB"/>
    <w:rsid w:val="00C449FF"/>
    <w:rsid w:val="00C54335"/>
    <w:rsid w:val="00C60316"/>
    <w:rsid w:val="00C63EEA"/>
    <w:rsid w:val="00C64049"/>
    <w:rsid w:val="00C7008F"/>
    <w:rsid w:val="00C71C8F"/>
    <w:rsid w:val="00C82866"/>
    <w:rsid w:val="00CA0276"/>
    <w:rsid w:val="00CA19A1"/>
    <w:rsid w:val="00CA331D"/>
    <w:rsid w:val="00CB5940"/>
    <w:rsid w:val="00CB63A8"/>
    <w:rsid w:val="00CC44C0"/>
    <w:rsid w:val="00CC491B"/>
    <w:rsid w:val="00CE3A86"/>
    <w:rsid w:val="00CF1F5A"/>
    <w:rsid w:val="00CF3A3E"/>
    <w:rsid w:val="00D01BDC"/>
    <w:rsid w:val="00D050CA"/>
    <w:rsid w:val="00D20FD3"/>
    <w:rsid w:val="00D2538C"/>
    <w:rsid w:val="00D25885"/>
    <w:rsid w:val="00D33DE3"/>
    <w:rsid w:val="00D37AB6"/>
    <w:rsid w:val="00D562A2"/>
    <w:rsid w:val="00D567C4"/>
    <w:rsid w:val="00D64904"/>
    <w:rsid w:val="00D7587E"/>
    <w:rsid w:val="00D81B32"/>
    <w:rsid w:val="00D829A2"/>
    <w:rsid w:val="00D85760"/>
    <w:rsid w:val="00D87B28"/>
    <w:rsid w:val="00D90ACD"/>
    <w:rsid w:val="00D90F65"/>
    <w:rsid w:val="00D92D92"/>
    <w:rsid w:val="00D93107"/>
    <w:rsid w:val="00DA7857"/>
    <w:rsid w:val="00DA791C"/>
    <w:rsid w:val="00DC5881"/>
    <w:rsid w:val="00DC7D57"/>
    <w:rsid w:val="00DD584F"/>
    <w:rsid w:val="00DE3BF5"/>
    <w:rsid w:val="00DE5CAB"/>
    <w:rsid w:val="00DF5BB7"/>
    <w:rsid w:val="00E07142"/>
    <w:rsid w:val="00E139AC"/>
    <w:rsid w:val="00E161C0"/>
    <w:rsid w:val="00E172E6"/>
    <w:rsid w:val="00E246AA"/>
    <w:rsid w:val="00E36FE9"/>
    <w:rsid w:val="00E55ABE"/>
    <w:rsid w:val="00E57FC6"/>
    <w:rsid w:val="00E60F35"/>
    <w:rsid w:val="00E65C41"/>
    <w:rsid w:val="00E747F8"/>
    <w:rsid w:val="00E75C1F"/>
    <w:rsid w:val="00E764A3"/>
    <w:rsid w:val="00E80AC1"/>
    <w:rsid w:val="00E93301"/>
    <w:rsid w:val="00E97F40"/>
    <w:rsid w:val="00EA5A61"/>
    <w:rsid w:val="00EA7F3B"/>
    <w:rsid w:val="00EB00A6"/>
    <w:rsid w:val="00EB06BE"/>
    <w:rsid w:val="00EC0C1E"/>
    <w:rsid w:val="00EC0DFB"/>
    <w:rsid w:val="00ED25E0"/>
    <w:rsid w:val="00EE15FB"/>
    <w:rsid w:val="00EE46B2"/>
    <w:rsid w:val="00EE4B97"/>
    <w:rsid w:val="00EE6CD9"/>
    <w:rsid w:val="00EE7E90"/>
    <w:rsid w:val="00EF62A0"/>
    <w:rsid w:val="00F002F7"/>
    <w:rsid w:val="00F15ACC"/>
    <w:rsid w:val="00F17F8E"/>
    <w:rsid w:val="00F22DF3"/>
    <w:rsid w:val="00F268C4"/>
    <w:rsid w:val="00F3028D"/>
    <w:rsid w:val="00F330D4"/>
    <w:rsid w:val="00F41A0E"/>
    <w:rsid w:val="00F424EF"/>
    <w:rsid w:val="00F43B50"/>
    <w:rsid w:val="00F51E77"/>
    <w:rsid w:val="00F537A0"/>
    <w:rsid w:val="00F6022A"/>
    <w:rsid w:val="00F6146D"/>
    <w:rsid w:val="00F61543"/>
    <w:rsid w:val="00F64A45"/>
    <w:rsid w:val="00F656D2"/>
    <w:rsid w:val="00F7091A"/>
    <w:rsid w:val="00F7425F"/>
    <w:rsid w:val="00F80F79"/>
    <w:rsid w:val="00F818F5"/>
    <w:rsid w:val="00F85D10"/>
    <w:rsid w:val="00F86C3F"/>
    <w:rsid w:val="00F90DE0"/>
    <w:rsid w:val="00F95229"/>
    <w:rsid w:val="00FA0EBB"/>
    <w:rsid w:val="00FA708F"/>
    <w:rsid w:val="00FA7D6C"/>
    <w:rsid w:val="00FB22BA"/>
    <w:rsid w:val="00FC3363"/>
    <w:rsid w:val="00FC35AB"/>
    <w:rsid w:val="00FC3A5C"/>
    <w:rsid w:val="00FD3623"/>
    <w:rsid w:val="00FD54BE"/>
    <w:rsid w:val="00FD56C4"/>
    <w:rsid w:val="00FD68A9"/>
    <w:rsid w:val="00FE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1185D"/>
  <w15:chartTrackingRefBased/>
  <w15:docId w15:val="{9FCB2B42-A009-4DD3-8D2C-AE9C4255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418"/>
  </w:style>
  <w:style w:type="paragraph" w:styleId="Heading1">
    <w:name w:val="heading 1"/>
    <w:basedOn w:val="Normal"/>
    <w:next w:val="Normal"/>
    <w:link w:val="Heading1Char"/>
    <w:uiPriority w:val="9"/>
    <w:qFormat/>
    <w:rsid w:val="0090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23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6233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842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0F6"/>
    <w:rPr>
      <w:color w:val="0000FF"/>
      <w:u w:val="single"/>
    </w:rPr>
  </w:style>
  <w:style w:type="paragraph" w:styleId="Title">
    <w:name w:val="Title"/>
    <w:basedOn w:val="Normal"/>
    <w:next w:val="Normal"/>
    <w:link w:val="TitleChar"/>
    <w:uiPriority w:val="10"/>
    <w:qFormat/>
    <w:rsid w:val="002140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0F6"/>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2140F6"/>
    <w:rPr>
      <w:sz w:val="16"/>
      <w:szCs w:val="16"/>
    </w:rPr>
  </w:style>
  <w:style w:type="paragraph" w:styleId="CommentText">
    <w:name w:val="annotation text"/>
    <w:basedOn w:val="Normal"/>
    <w:link w:val="CommentTextChar"/>
    <w:uiPriority w:val="99"/>
    <w:unhideWhenUsed/>
    <w:rsid w:val="002140F6"/>
    <w:pPr>
      <w:spacing w:line="240" w:lineRule="auto"/>
    </w:pPr>
    <w:rPr>
      <w:sz w:val="20"/>
      <w:szCs w:val="20"/>
    </w:rPr>
  </w:style>
  <w:style w:type="character" w:customStyle="1" w:styleId="CommentTextChar">
    <w:name w:val="Comment Text Char"/>
    <w:basedOn w:val="DefaultParagraphFont"/>
    <w:link w:val="CommentText"/>
    <w:uiPriority w:val="99"/>
    <w:rsid w:val="002140F6"/>
    <w:rPr>
      <w:sz w:val="20"/>
      <w:szCs w:val="20"/>
    </w:rPr>
  </w:style>
  <w:style w:type="paragraph" w:styleId="ListParagraph">
    <w:name w:val="List Paragraph"/>
    <w:basedOn w:val="Normal"/>
    <w:uiPriority w:val="34"/>
    <w:qFormat/>
    <w:rsid w:val="00B96C15"/>
    <w:pPr>
      <w:ind w:left="720"/>
      <w:contextualSpacing/>
    </w:pPr>
  </w:style>
  <w:style w:type="character" w:styleId="UnresolvedMention">
    <w:name w:val="Unresolved Mention"/>
    <w:basedOn w:val="DefaultParagraphFont"/>
    <w:uiPriority w:val="99"/>
    <w:semiHidden/>
    <w:unhideWhenUsed/>
    <w:rsid w:val="005301BA"/>
    <w:rPr>
      <w:color w:val="605E5C"/>
      <w:shd w:val="clear" w:color="auto" w:fill="E1DFDD"/>
    </w:rPr>
  </w:style>
  <w:style w:type="character" w:styleId="FollowedHyperlink">
    <w:name w:val="FollowedHyperlink"/>
    <w:basedOn w:val="DefaultParagraphFont"/>
    <w:uiPriority w:val="99"/>
    <w:semiHidden/>
    <w:unhideWhenUsed/>
    <w:rsid w:val="005C791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2596A"/>
    <w:rPr>
      <w:b/>
      <w:bCs/>
    </w:rPr>
  </w:style>
  <w:style w:type="character" w:customStyle="1" w:styleId="CommentSubjectChar">
    <w:name w:val="Comment Subject Char"/>
    <w:basedOn w:val="CommentTextChar"/>
    <w:link w:val="CommentSubject"/>
    <w:uiPriority w:val="99"/>
    <w:semiHidden/>
    <w:rsid w:val="0092596A"/>
    <w:rPr>
      <w:b/>
      <w:bCs/>
      <w:sz w:val="20"/>
      <w:szCs w:val="20"/>
    </w:rPr>
  </w:style>
  <w:style w:type="table" w:styleId="TableGrid">
    <w:name w:val="Table Grid"/>
    <w:basedOn w:val="TableNormal"/>
    <w:uiPriority w:val="39"/>
    <w:rsid w:val="0070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8F5"/>
  </w:style>
  <w:style w:type="paragraph" w:styleId="Footer">
    <w:name w:val="footer"/>
    <w:basedOn w:val="Normal"/>
    <w:link w:val="FooterChar"/>
    <w:uiPriority w:val="99"/>
    <w:unhideWhenUsed/>
    <w:rsid w:val="00F818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8F5"/>
  </w:style>
  <w:style w:type="character" w:customStyle="1" w:styleId="Heading1Char">
    <w:name w:val="Heading 1 Char"/>
    <w:basedOn w:val="DefaultParagraphFont"/>
    <w:link w:val="Heading1"/>
    <w:uiPriority w:val="9"/>
    <w:rsid w:val="00902825"/>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820FFE"/>
    <w:pPr>
      <w:spacing w:after="0" w:line="240" w:lineRule="auto"/>
    </w:pPr>
  </w:style>
  <w:style w:type="character" w:customStyle="1" w:styleId="Heading2Char">
    <w:name w:val="Heading 2 Char"/>
    <w:basedOn w:val="DefaultParagraphFont"/>
    <w:link w:val="Heading2"/>
    <w:uiPriority w:val="9"/>
    <w:rsid w:val="004623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6233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84226"/>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9C69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6944"/>
    <w:rPr>
      <w:sz w:val="20"/>
      <w:szCs w:val="20"/>
    </w:rPr>
  </w:style>
  <w:style w:type="character" w:styleId="FootnoteReference">
    <w:name w:val="footnote reference"/>
    <w:basedOn w:val="DefaultParagraphFont"/>
    <w:uiPriority w:val="99"/>
    <w:semiHidden/>
    <w:unhideWhenUsed/>
    <w:rsid w:val="009C6944"/>
    <w:rPr>
      <w:vertAlign w:val="superscript"/>
    </w:rPr>
  </w:style>
  <w:style w:type="character" w:styleId="PlaceholderText">
    <w:name w:val="Placeholder Text"/>
    <w:basedOn w:val="DefaultParagraphFont"/>
    <w:uiPriority w:val="99"/>
    <w:semiHidden/>
    <w:rsid w:val="00FA7D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851476">
      <w:bodyDiv w:val="1"/>
      <w:marLeft w:val="0"/>
      <w:marRight w:val="0"/>
      <w:marTop w:val="0"/>
      <w:marBottom w:val="0"/>
      <w:divBdr>
        <w:top w:val="none" w:sz="0" w:space="0" w:color="auto"/>
        <w:left w:val="none" w:sz="0" w:space="0" w:color="auto"/>
        <w:bottom w:val="none" w:sz="0" w:space="0" w:color="auto"/>
        <w:right w:val="none" w:sz="0" w:space="0" w:color="auto"/>
      </w:divBdr>
      <w:divsChild>
        <w:div w:id="1222712373">
          <w:marLeft w:val="0"/>
          <w:marRight w:val="0"/>
          <w:marTop w:val="0"/>
          <w:marBottom w:val="0"/>
          <w:divBdr>
            <w:top w:val="none" w:sz="0" w:space="0" w:color="auto"/>
            <w:left w:val="none" w:sz="0" w:space="0" w:color="auto"/>
            <w:bottom w:val="none" w:sz="0" w:space="0" w:color="auto"/>
            <w:right w:val="none" w:sz="0" w:space="0" w:color="auto"/>
          </w:divBdr>
          <w:divsChild>
            <w:div w:id="19805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654349">
      <w:bodyDiv w:val="1"/>
      <w:marLeft w:val="0"/>
      <w:marRight w:val="0"/>
      <w:marTop w:val="0"/>
      <w:marBottom w:val="0"/>
      <w:divBdr>
        <w:top w:val="none" w:sz="0" w:space="0" w:color="auto"/>
        <w:left w:val="none" w:sz="0" w:space="0" w:color="auto"/>
        <w:bottom w:val="none" w:sz="0" w:space="0" w:color="auto"/>
        <w:right w:val="none" w:sz="0" w:space="0" w:color="auto"/>
      </w:divBdr>
    </w:div>
    <w:div w:id="2015571810">
      <w:bodyDiv w:val="1"/>
      <w:marLeft w:val="0"/>
      <w:marRight w:val="0"/>
      <w:marTop w:val="0"/>
      <w:marBottom w:val="0"/>
      <w:divBdr>
        <w:top w:val="none" w:sz="0" w:space="0" w:color="auto"/>
        <w:left w:val="none" w:sz="0" w:space="0" w:color="auto"/>
        <w:bottom w:val="none" w:sz="0" w:space="0" w:color="auto"/>
        <w:right w:val="none" w:sz="0" w:space="0" w:color="auto"/>
      </w:divBdr>
    </w:div>
    <w:div w:id="2064088782">
      <w:bodyDiv w:val="1"/>
      <w:marLeft w:val="0"/>
      <w:marRight w:val="0"/>
      <w:marTop w:val="0"/>
      <w:marBottom w:val="0"/>
      <w:divBdr>
        <w:top w:val="none" w:sz="0" w:space="0" w:color="auto"/>
        <w:left w:val="none" w:sz="0" w:space="0" w:color="auto"/>
        <w:bottom w:val="none" w:sz="0" w:space="0" w:color="auto"/>
        <w:right w:val="none" w:sz="0" w:space="0" w:color="auto"/>
      </w:divBdr>
    </w:div>
    <w:div w:id="2100368453">
      <w:bodyDiv w:val="1"/>
      <w:marLeft w:val="0"/>
      <w:marRight w:val="0"/>
      <w:marTop w:val="0"/>
      <w:marBottom w:val="0"/>
      <w:divBdr>
        <w:top w:val="none" w:sz="0" w:space="0" w:color="auto"/>
        <w:left w:val="none" w:sz="0" w:space="0" w:color="auto"/>
        <w:bottom w:val="none" w:sz="0" w:space="0" w:color="auto"/>
        <w:right w:val="none" w:sz="0" w:space="0" w:color="auto"/>
      </w:divBdr>
    </w:div>
    <w:div w:id="212954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h2o.org/" TargetMode="External"/><Relationship Id="rId18" Type="http://schemas.openxmlformats.org/officeDocument/2006/relationships/hyperlink" Target="https://www.lslr-collaborativ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s://www.in.gov/idem/files/factsheet_owq_pws_are_you_pws.pdf" TargetMode="External"/><Relationship Id="rId17" Type="http://schemas.openxmlformats.org/officeDocument/2006/relationships/hyperlink" Target="https://www.in.gov/ifa/sr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pa.gov/ground-water-and-drinking-water/revised-lead-and-copper-rule"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idem/files/factsheet_owq_pws_are_you_pws.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tmp"/><Relationship Id="rId23" Type="http://schemas.microsoft.com/office/2007/relationships/diagramDrawing" Target="diagrams/drawing1.xml"/><Relationship Id="rId10" Type="http://schemas.openxmlformats.org/officeDocument/2006/relationships/hyperlink" Target="https://www.in.gov/idem/cleanwater/drinking-water/drinking-water-compliance-section/water-systems/drinking-water-and-lead/" TargetMode="Externa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s://www.epa.gov/ground-water-and-drinking-water/revised-lead-and-copper-rule" TargetMode="External"/><Relationship Id="rId14" Type="http://schemas.openxmlformats.org/officeDocument/2006/relationships/hyperlink" Target="https://www.in.gov/ifa/srf/"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h2o.org/Resources/Lead-Copper-Resources-LCRR/Lead-Inventory-Technical-Assistance-Progra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70A292-9C40-4421-BB01-03465E178534}" type="doc">
      <dgm:prSet loTypeId="urn:microsoft.com/office/officeart/2005/8/layout/process1" loCatId="process" qsTypeId="urn:microsoft.com/office/officeart/2005/8/quickstyle/simple1" qsCatId="simple" csTypeId="urn:microsoft.com/office/officeart/2005/8/colors/accent1_2" csCatId="accent1" phldr="1"/>
      <dgm:spPr/>
    </dgm:pt>
    <dgm:pt modelId="{ED296ADD-4869-4454-BA08-5A0A8B064BB8}">
      <dgm:prSet phldrT="[Text]"/>
      <dgm:spPr>
        <a:solidFill>
          <a:schemeClr val="accent6">
            <a:lumMod val="20000"/>
            <a:lumOff val="80000"/>
          </a:schemeClr>
        </a:solidFill>
      </dgm:spPr>
      <dgm:t>
        <a:bodyPr/>
        <a:lstStyle/>
        <a:p>
          <a:r>
            <a:rPr lang="en-US" b="1">
              <a:ln>
                <a:noFill/>
              </a:ln>
              <a:solidFill>
                <a:sysClr val="windowText" lastClr="000000"/>
              </a:solidFill>
            </a:rPr>
            <a:t>Community selects Service Provider for LSLI project</a:t>
          </a:r>
        </a:p>
      </dgm:t>
    </dgm:pt>
    <dgm:pt modelId="{A8C838B3-EAC1-4D9C-A0B9-DD300D2B78EF}" type="parTrans" cxnId="{A7F5D7E8-0128-460B-8A3F-7585B5446DE9}">
      <dgm:prSet/>
      <dgm:spPr/>
      <dgm:t>
        <a:bodyPr/>
        <a:lstStyle/>
        <a:p>
          <a:endParaRPr lang="en-US">
            <a:ln>
              <a:noFill/>
            </a:ln>
          </a:endParaRPr>
        </a:p>
      </dgm:t>
    </dgm:pt>
    <dgm:pt modelId="{BEF67F71-0347-40A9-B3E7-4B631E278AF8}" type="sibTrans" cxnId="{A7F5D7E8-0128-460B-8A3F-7585B5446DE9}">
      <dgm:prSet/>
      <dgm:spPr/>
      <dgm:t>
        <a:bodyPr/>
        <a:lstStyle/>
        <a:p>
          <a:endParaRPr lang="en-US">
            <a:ln>
              <a:noFill/>
            </a:ln>
          </a:endParaRPr>
        </a:p>
      </dgm:t>
    </dgm:pt>
    <dgm:pt modelId="{E3D7BBC9-D852-4A7A-8D9B-7CFE436A579C}">
      <dgm:prSet phldrT="[Text]"/>
      <dgm:spPr>
        <a:solidFill>
          <a:schemeClr val="accent6">
            <a:lumMod val="40000"/>
            <a:lumOff val="60000"/>
          </a:schemeClr>
        </a:solidFill>
      </dgm:spPr>
      <dgm:t>
        <a:bodyPr/>
        <a:lstStyle/>
        <a:p>
          <a:r>
            <a:rPr lang="en-US" b="1">
              <a:ln>
                <a:noFill/>
              </a:ln>
              <a:solidFill>
                <a:sysClr val="windowText" lastClr="000000"/>
              </a:solidFill>
            </a:rPr>
            <a:t>Community/Service Provider submits application</a:t>
          </a:r>
        </a:p>
      </dgm:t>
    </dgm:pt>
    <dgm:pt modelId="{7C667AC2-8E9B-4D6A-87DF-85090C3E1D54}" type="parTrans" cxnId="{1AE6DD13-2F6D-435C-A1D5-1E1B52C5136E}">
      <dgm:prSet/>
      <dgm:spPr/>
      <dgm:t>
        <a:bodyPr/>
        <a:lstStyle/>
        <a:p>
          <a:endParaRPr lang="en-US">
            <a:ln>
              <a:noFill/>
            </a:ln>
          </a:endParaRPr>
        </a:p>
      </dgm:t>
    </dgm:pt>
    <dgm:pt modelId="{AD2A6189-CDED-4734-816F-1B22FF96C8A5}" type="sibTrans" cxnId="{1AE6DD13-2F6D-435C-A1D5-1E1B52C5136E}">
      <dgm:prSet/>
      <dgm:spPr/>
      <dgm:t>
        <a:bodyPr/>
        <a:lstStyle/>
        <a:p>
          <a:endParaRPr lang="en-US">
            <a:ln>
              <a:noFill/>
            </a:ln>
          </a:endParaRPr>
        </a:p>
      </dgm:t>
    </dgm:pt>
    <dgm:pt modelId="{716D64E8-F14C-4718-9424-7535F93040F9}">
      <dgm:prSet phldrT="[Text]"/>
      <dgm:spPr>
        <a:solidFill>
          <a:schemeClr val="accent6">
            <a:lumMod val="60000"/>
            <a:lumOff val="40000"/>
          </a:schemeClr>
        </a:solidFill>
      </dgm:spPr>
      <dgm:t>
        <a:bodyPr/>
        <a:lstStyle/>
        <a:p>
          <a:r>
            <a:rPr lang="en-US" b="1">
              <a:ln>
                <a:noFill/>
              </a:ln>
              <a:solidFill>
                <a:sysClr val="windowText" lastClr="000000"/>
              </a:solidFill>
            </a:rPr>
            <a:t>IFA reviews application &amp; awards community</a:t>
          </a:r>
        </a:p>
      </dgm:t>
    </dgm:pt>
    <dgm:pt modelId="{AF90D22C-E6D0-4C06-9B07-22D20B0A9EE6}" type="parTrans" cxnId="{D9B6148A-9921-4908-BEE5-23675174A3F4}">
      <dgm:prSet/>
      <dgm:spPr/>
      <dgm:t>
        <a:bodyPr/>
        <a:lstStyle/>
        <a:p>
          <a:endParaRPr lang="en-US">
            <a:ln>
              <a:noFill/>
            </a:ln>
          </a:endParaRPr>
        </a:p>
      </dgm:t>
    </dgm:pt>
    <dgm:pt modelId="{5A4EEAFD-E146-4DDB-9C72-8409F0A21228}" type="sibTrans" cxnId="{D9B6148A-9921-4908-BEE5-23675174A3F4}">
      <dgm:prSet/>
      <dgm:spPr/>
      <dgm:t>
        <a:bodyPr/>
        <a:lstStyle/>
        <a:p>
          <a:endParaRPr lang="en-US">
            <a:ln>
              <a:noFill/>
            </a:ln>
          </a:endParaRPr>
        </a:p>
      </dgm:t>
    </dgm:pt>
    <dgm:pt modelId="{4F7A2F32-B52F-4B13-AB6B-BE5FD8179C60}">
      <dgm:prSet phldrT="[Text]"/>
      <dgm:spPr>
        <a:solidFill>
          <a:schemeClr val="accent6">
            <a:lumMod val="75000"/>
          </a:schemeClr>
        </a:solidFill>
      </dgm:spPr>
      <dgm:t>
        <a:bodyPr/>
        <a:lstStyle/>
        <a:p>
          <a:r>
            <a:rPr lang="en-US" b="1">
              <a:ln>
                <a:noFill/>
              </a:ln>
              <a:solidFill>
                <a:sysClr val="windowText" lastClr="000000"/>
              </a:solidFill>
            </a:rPr>
            <a:t>IFA enters into PSA with Service Provider for project(s)</a:t>
          </a:r>
        </a:p>
      </dgm:t>
    </dgm:pt>
    <dgm:pt modelId="{F72B4270-79F4-4FBD-94A4-5A6E974280C6}" type="parTrans" cxnId="{E2670A30-19CB-4833-BFEF-F538DB0B331E}">
      <dgm:prSet/>
      <dgm:spPr/>
      <dgm:t>
        <a:bodyPr/>
        <a:lstStyle/>
        <a:p>
          <a:endParaRPr lang="en-US">
            <a:ln>
              <a:noFill/>
            </a:ln>
          </a:endParaRPr>
        </a:p>
      </dgm:t>
    </dgm:pt>
    <dgm:pt modelId="{C6779C7A-91C0-4175-8379-6D9A3530BB56}" type="sibTrans" cxnId="{E2670A30-19CB-4833-BFEF-F538DB0B331E}">
      <dgm:prSet/>
      <dgm:spPr/>
      <dgm:t>
        <a:bodyPr/>
        <a:lstStyle/>
        <a:p>
          <a:endParaRPr lang="en-US">
            <a:ln>
              <a:noFill/>
            </a:ln>
          </a:endParaRPr>
        </a:p>
      </dgm:t>
    </dgm:pt>
    <dgm:pt modelId="{5DEE312B-B007-4AB2-8A4A-B1A2C3B355AA}">
      <dgm:prSet phldrT="[Text]"/>
      <dgm:spPr>
        <a:solidFill>
          <a:schemeClr val="accent6">
            <a:lumMod val="75000"/>
          </a:schemeClr>
        </a:solidFill>
      </dgm:spPr>
      <dgm:t>
        <a:bodyPr/>
        <a:lstStyle/>
        <a:p>
          <a:r>
            <a:rPr lang="en-US" b="1">
              <a:ln>
                <a:noFill/>
              </a:ln>
              <a:solidFill>
                <a:sysClr val="windowText" lastClr="000000"/>
              </a:solidFill>
            </a:rPr>
            <a:t>IFA pays Service Provider directly for project </a:t>
          </a:r>
        </a:p>
      </dgm:t>
    </dgm:pt>
    <dgm:pt modelId="{90BF15A7-279F-4C2E-B7F0-3309D95811AE}" type="parTrans" cxnId="{FF6719B2-49B3-444F-8857-BA8311FA6EBF}">
      <dgm:prSet/>
      <dgm:spPr/>
      <dgm:t>
        <a:bodyPr/>
        <a:lstStyle/>
        <a:p>
          <a:endParaRPr lang="en-US">
            <a:ln>
              <a:noFill/>
            </a:ln>
          </a:endParaRPr>
        </a:p>
      </dgm:t>
    </dgm:pt>
    <dgm:pt modelId="{79DF4CC8-5C5E-41F8-A0C4-5549FFF8E931}" type="sibTrans" cxnId="{FF6719B2-49B3-444F-8857-BA8311FA6EBF}">
      <dgm:prSet/>
      <dgm:spPr/>
      <dgm:t>
        <a:bodyPr/>
        <a:lstStyle/>
        <a:p>
          <a:endParaRPr lang="en-US">
            <a:ln>
              <a:noFill/>
            </a:ln>
          </a:endParaRPr>
        </a:p>
      </dgm:t>
    </dgm:pt>
    <dgm:pt modelId="{DDB34320-FBCF-425D-A86F-7221FC91E8A6}" type="pres">
      <dgm:prSet presAssocID="{4D70A292-9C40-4421-BB01-03465E178534}" presName="Name0" presStyleCnt="0">
        <dgm:presLayoutVars>
          <dgm:dir/>
          <dgm:resizeHandles val="exact"/>
        </dgm:presLayoutVars>
      </dgm:prSet>
      <dgm:spPr/>
    </dgm:pt>
    <dgm:pt modelId="{554CD957-671E-4B22-8532-08C7C716C356}" type="pres">
      <dgm:prSet presAssocID="{ED296ADD-4869-4454-BA08-5A0A8B064BB8}" presName="node" presStyleLbl="node1" presStyleIdx="0" presStyleCnt="5">
        <dgm:presLayoutVars>
          <dgm:bulletEnabled val="1"/>
        </dgm:presLayoutVars>
      </dgm:prSet>
      <dgm:spPr/>
    </dgm:pt>
    <dgm:pt modelId="{FAECE210-844D-4E05-A75A-429D7209C4E3}" type="pres">
      <dgm:prSet presAssocID="{BEF67F71-0347-40A9-B3E7-4B631E278AF8}" presName="sibTrans" presStyleLbl="sibTrans2D1" presStyleIdx="0" presStyleCnt="4"/>
      <dgm:spPr/>
    </dgm:pt>
    <dgm:pt modelId="{1E561041-B504-4EDB-8DB1-F4C21EB790AD}" type="pres">
      <dgm:prSet presAssocID="{BEF67F71-0347-40A9-B3E7-4B631E278AF8}" presName="connectorText" presStyleLbl="sibTrans2D1" presStyleIdx="0" presStyleCnt="4"/>
      <dgm:spPr/>
    </dgm:pt>
    <dgm:pt modelId="{646BB46F-C36A-469E-80A5-8B51D884EA64}" type="pres">
      <dgm:prSet presAssocID="{E3D7BBC9-D852-4A7A-8D9B-7CFE436A579C}" presName="node" presStyleLbl="node1" presStyleIdx="1" presStyleCnt="5">
        <dgm:presLayoutVars>
          <dgm:bulletEnabled val="1"/>
        </dgm:presLayoutVars>
      </dgm:prSet>
      <dgm:spPr/>
    </dgm:pt>
    <dgm:pt modelId="{FAB7B040-736E-40B6-A3AF-E3B8E18E4E5A}" type="pres">
      <dgm:prSet presAssocID="{AD2A6189-CDED-4734-816F-1B22FF96C8A5}" presName="sibTrans" presStyleLbl="sibTrans2D1" presStyleIdx="1" presStyleCnt="4"/>
      <dgm:spPr/>
    </dgm:pt>
    <dgm:pt modelId="{D2856A99-FD75-427F-9723-B052CBFFF19B}" type="pres">
      <dgm:prSet presAssocID="{AD2A6189-CDED-4734-816F-1B22FF96C8A5}" presName="connectorText" presStyleLbl="sibTrans2D1" presStyleIdx="1" presStyleCnt="4"/>
      <dgm:spPr/>
    </dgm:pt>
    <dgm:pt modelId="{6C1DFD8F-C016-476D-A5C8-559FA4062B27}" type="pres">
      <dgm:prSet presAssocID="{716D64E8-F14C-4718-9424-7535F93040F9}" presName="node" presStyleLbl="node1" presStyleIdx="2" presStyleCnt="5">
        <dgm:presLayoutVars>
          <dgm:bulletEnabled val="1"/>
        </dgm:presLayoutVars>
      </dgm:prSet>
      <dgm:spPr/>
    </dgm:pt>
    <dgm:pt modelId="{EE8FFDDA-2518-4054-BF62-68142A57276A}" type="pres">
      <dgm:prSet presAssocID="{5A4EEAFD-E146-4DDB-9C72-8409F0A21228}" presName="sibTrans" presStyleLbl="sibTrans2D1" presStyleIdx="2" presStyleCnt="4"/>
      <dgm:spPr/>
    </dgm:pt>
    <dgm:pt modelId="{938EA068-E205-4BAA-88B9-3E98F9FD78E3}" type="pres">
      <dgm:prSet presAssocID="{5A4EEAFD-E146-4DDB-9C72-8409F0A21228}" presName="connectorText" presStyleLbl="sibTrans2D1" presStyleIdx="2" presStyleCnt="4"/>
      <dgm:spPr/>
    </dgm:pt>
    <dgm:pt modelId="{60BE5BE0-1787-414B-95D3-8002660FE51A}" type="pres">
      <dgm:prSet presAssocID="{4F7A2F32-B52F-4B13-AB6B-BE5FD8179C60}" presName="node" presStyleLbl="node1" presStyleIdx="3" presStyleCnt="5">
        <dgm:presLayoutVars>
          <dgm:bulletEnabled val="1"/>
        </dgm:presLayoutVars>
      </dgm:prSet>
      <dgm:spPr/>
    </dgm:pt>
    <dgm:pt modelId="{E580A35F-3D6A-486D-B453-741DB1205FBE}" type="pres">
      <dgm:prSet presAssocID="{C6779C7A-91C0-4175-8379-6D9A3530BB56}" presName="sibTrans" presStyleLbl="sibTrans2D1" presStyleIdx="3" presStyleCnt="4"/>
      <dgm:spPr/>
    </dgm:pt>
    <dgm:pt modelId="{BD910DC8-E760-4169-BFAB-DC76DB2A67F6}" type="pres">
      <dgm:prSet presAssocID="{C6779C7A-91C0-4175-8379-6D9A3530BB56}" presName="connectorText" presStyleLbl="sibTrans2D1" presStyleIdx="3" presStyleCnt="4"/>
      <dgm:spPr/>
    </dgm:pt>
    <dgm:pt modelId="{66E921B5-587A-4688-9765-0723A2790E00}" type="pres">
      <dgm:prSet presAssocID="{5DEE312B-B007-4AB2-8A4A-B1A2C3B355AA}" presName="node" presStyleLbl="node1" presStyleIdx="4" presStyleCnt="5">
        <dgm:presLayoutVars>
          <dgm:bulletEnabled val="1"/>
        </dgm:presLayoutVars>
      </dgm:prSet>
      <dgm:spPr/>
    </dgm:pt>
  </dgm:ptLst>
  <dgm:cxnLst>
    <dgm:cxn modelId="{E2873A11-8D24-4DE3-A240-F255D4A63361}" type="presOf" srcId="{5A4EEAFD-E146-4DDB-9C72-8409F0A21228}" destId="{938EA068-E205-4BAA-88B9-3E98F9FD78E3}" srcOrd="1" destOrd="0" presId="urn:microsoft.com/office/officeart/2005/8/layout/process1"/>
    <dgm:cxn modelId="{1AE6DD13-2F6D-435C-A1D5-1E1B52C5136E}" srcId="{4D70A292-9C40-4421-BB01-03465E178534}" destId="{E3D7BBC9-D852-4A7A-8D9B-7CFE436A579C}" srcOrd="1" destOrd="0" parTransId="{7C667AC2-8E9B-4D6A-87DF-85090C3E1D54}" sibTransId="{AD2A6189-CDED-4734-816F-1B22FF96C8A5}"/>
    <dgm:cxn modelId="{0A53FB13-5322-466B-9662-0478DD6ACAAE}" type="presOf" srcId="{AD2A6189-CDED-4734-816F-1B22FF96C8A5}" destId="{D2856A99-FD75-427F-9723-B052CBFFF19B}" srcOrd="1" destOrd="0" presId="urn:microsoft.com/office/officeart/2005/8/layout/process1"/>
    <dgm:cxn modelId="{86909824-713A-4763-8F25-5B1B78912926}" type="presOf" srcId="{4D70A292-9C40-4421-BB01-03465E178534}" destId="{DDB34320-FBCF-425D-A86F-7221FC91E8A6}" srcOrd="0" destOrd="0" presId="urn:microsoft.com/office/officeart/2005/8/layout/process1"/>
    <dgm:cxn modelId="{2AA30E2A-595D-4B5A-BA91-A510C773F8FA}" type="presOf" srcId="{5DEE312B-B007-4AB2-8A4A-B1A2C3B355AA}" destId="{66E921B5-587A-4688-9765-0723A2790E00}" srcOrd="0" destOrd="0" presId="urn:microsoft.com/office/officeart/2005/8/layout/process1"/>
    <dgm:cxn modelId="{E2670A30-19CB-4833-BFEF-F538DB0B331E}" srcId="{4D70A292-9C40-4421-BB01-03465E178534}" destId="{4F7A2F32-B52F-4B13-AB6B-BE5FD8179C60}" srcOrd="3" destOrd="0" parTransId="{F72B4270-79F4-4FBD-94A4-5A6E974280C6}" sibTransId="{C6779C7A-91C0-4175-8379-6D9A3530BB56}"/>
    <dgm:cxn modelId="{2C581764-4977-4444-94E1-386EBC534E8D}" type="presOf" srcId="{AD2A6189-CDED-4734-816F-1B22FF96C8A5}" destId="{FAB7B040-736E-40B6-A3AF-E3B8E18E4E5A}" srcOrd="0" destOrd="0" presId="urn:microsoft.com/office/officeart/2005/8/layout/process1"/>
    <dgm:cxn modelId="{A4B3BD48-ACBA-44B6-AFCD-503AD442DA24}" type="presOf" srcId="{BEF67F71-0347-40A9-B3E7-4B631E278AF8}" destId="{FAECE210-844D-4E05-A75A-429D7209C4E3}" srcOrd="0" destOrd="0" presId="urn:microsoft.com/office/officeart/2005/8/layout/process1"/>
    <dgm:cxn modelId="{A567D04D-91DF-48B3-B571-00860145659B}" type="presOf" srcId="{C6779C7A-91C0-4175-8379-6D9A3530BB56}" destId="{BD910DC8-E760-4169-BFAB-DC76DB2A67F6}" srcOrd="1" destOrd="0" presId="urn:microsoft.com/office/officeart/2005/8/layout/process1"/>
    <dgm:cxn modelId="{47BE0776-F70F-49F9-A13A-B39220FC51E5}" type="presOf" srcId="{4F7A2F32-B52F-4B13-AB6B-BE5FD8179C60}" destId="{60BE5BE0-1787-414B-95D3-8002660FE51A}" srcOrd="0" destOrd="0" presId="urn:microsoft.com/office/officeart/2005/8/layout/process1"/>
    <dgm:cxn modelId="{ED822257-642B-4639-80C5-76C3B64AFC6A}" type="presOf" srcId="{5A4EEAFD-E146-4DDB-9C72-8409F0A21228}" destId="{EE8FFDDA-2518-4054-BF62-68142A57276A}" srcOrd="0" destOrd="0" presId="urn:microsoft.com/office/officeart/2005/8/layout/process1"/>
    <dgm:cxn modelId="{D9B6148A-9921-4908-BEE5-23675174A3F4}" srcId="{4D70A292-9C40-4421-BB01-03465E178534}" destId="{716D64E8-F14C-4718-9424-7535F93040F9}" srcOrd="2" destOrd="0" parTransId="{AF90D22C-E6D0-4C06-9B07-22D20B0A9EE6}" sibTransId="{5A4EEAFD-E146-4DDB-9C72-8409F0A21228}"/>
    <dgm:cxn modelId="{F31AD4A9-562C-4E08-9BD3-BECB16560A7F}" type="presOf" srcId="{C6779C7A-91C0-4175-8379-6D9A3530BB56}" destId="{E580A35F-3D6A-486D-B453-741DB1205FBE}" srcOrd="0" destOrd="0" presId="urn:microsoft.com/office/officeart/2005/8/layout/process1"/>
    <dgm:cxn modelId="{FF6719B2-49B3-444F-8857-BA8311FA6EBF}" srcId="{4D70A292-9C40-4421-BB01-03465E178534}" destId="{5DEE312B-B007-4AB2-8A4A-B1A2C3B355AA}" srcOrd="4" destOrd="0" parTransId="{90BF15A7-279F-4C2E-B7F0-3309D95811AE}" sibTransId="{79DF4CC8-5C5E-41F8-A0C4-5549FFF8E931}"/>
    <dgm:cxn modelId="{3998CFB4-A5AB-4235-996E-F5118C49C7E6}" type="presOf" srcId="{716D64E8-F14C-4718-9424-7535F93040F9}" destId="{6C1DFD8F-C016-476D-A5C8-559FA4062B27}" srcOrd="0" destOrd="0" presId="urn:microsoft.com/office/officeart/2005/8/layout/process1"/>
    <dgm:cxn modelId="{074F09B7-B35D-42F7-8976-DA23C5F22066}" type="presOf" srcId="{ED296ADD-4869-4454-BA08-5A0A8B064BB8}" destId="{554CD957-671E-4B22-8532-08C7C716C356}" srcOrd="0" destOrd="0" presId="urn:microsoft.com/office/officeart/2005/8/layout/process1"/>
    <dgm:cxn modelId="{64485DC4-E789-4CA8-893B-4809A929B0AC}" type="presOf" srcId="{E3D7BBC9-D852-4A7A-8D9B-7CFE436A579C}" destId="{646BB46F-C36A-469E-80A5-8B51D884EA64}" srcOrd="0" destOrd="0" presId="urn:microsoft.com/office/officeart/2005/8/layout/process1"/>
    <dgm:cxn modelId="{A7F5D7E8-0128-460B-8A3F-7585B5446DE9}" srcId="{4D70A292-9C40-4421-BB01-03465E178534}" destId="{ED296ADD-4869-4454-BA08-5A0A8B064BB8}" srcOrd="0" destOrd="0" parTransId="{A8C838B3-EAC1-4D9C-A0B9-DD300D2B78EF}" sibTransId="{BEF67F71-0347-40A9-B3E7-4B631E278AF8}"/>
    <dgm:cxn modelId="{6EB71FF8-488C-4D09-BB97-EBA6F2AA1198}" type="presOf" srcId="{BEF67F71-0347-40A9-B3E7-4B631E278AF8}" destId="{1E561041-B504-4EDB-8DB1-F4C21EB790AD}" srcOrd="1" destOrd="0" presId="urn:microsoft.com/office/officeart/2005/8/layout/process1"/>
    <dgm:cxn modelId="{0E317E72-BD5A-49DF-8E09-76328C9FF242}" type="presParOf" srcId="{DDB34320-FBCF-425D-A86F-7221FC91E8A6}" destId="{554CD957-671E-4B22-8532-08C7C716C356}" srcOrd="0" destOrd="0" presId="urn:microsoft.com/office/officeart/2005/8/layout/process1"/>
    <dgm:cxn modelId="{3FD826ED-C6E6-4E2B-9548-2D4F150FAA68}" type="presParOf" srcId="{DDB34320-FBCF-425D-A86F-7221FC91E8A6}" destId="{FAECE210-844D-4E05-A75A-429D7209C4E3}" srcOrd="1" destOrd="0" presId="urn:microsoft.com/office/officeart/2005/8/layout/process1"/>
    <dgm:cxn modelId="{B8F83C91-3C63-4984-8DD9-FEB550CC4448}" type="presParOf" srcId="{FAECE210-844D-4E05-A75A-429D7209C4E3}" destId="{1E561041-B504-4EDB-8DB1-F4C21EB790AD}" srcOrd="0" destOrd="0" presId="urn:microsoft.com/office/officeart/2005/8/layout/process1"/>
    <dgm:cxn modelId="{1F8994E8-6019-4E31-88EA-79DD6E331F44}" type="presParOf" srcId="{DDB34320-FBCF-425D-A86F-7221FC91E8A6}" destId="{646BB46F-C36A-469E-80A5-8B51D884EA64}" srcOrd="2" destOrd="0" presId="urn:microsoft.com/office/officeart/2005/8/layout/process1"/>
    <dgm:cxn modelId="{02C84068-8190-42B5-80E6-ABC84C07C67B}" type="presParOf" srcId="{DDB34320-FBCF-425D-A86F-7221FC91E8A6}" destId="{FAB7B040-736E-40B6-A3AF-E3B8E18E4E5A}" srcOrd="3" destOrd="0" presId="urn:microsoft.com/office/officeart/2005/8/layout/process1"/>
    <dgm:cxn modelId="{2D6ECEB2-7BF7-48DA-9676-861BCDBC728C}" type="presParOf" srcId="{FAB7B040-736E-40B6-A3AF-E3B8E18E4E5A}" destId="{D2856A99-FD75-427F-9723-B052CBFFF19B}" srcOrd="0" destOrd="0" presId="urn:microsoft.com/office/officeart/2005/8/layout/process1"/>
    <dgm:cxn modelId="{60D3DB12-5CF8-42A7-BE2C-32F9DED1D38F}" type="presParOf" srcId="{DDB34320-FBCF-425D-A86F-7221FC91E8A6}" destId="{6C1DFD8F-C016-476D-A5C8-559FA4062B27}" srcOrd="4" destOrd="0" presId="urn:microsoft.com/office/officeart/2005/8/layout/process1"/>
    <dgm:cxn modelId="{407BDA97-663A-4487-B02D-CB581926F161}" type="presParOf" srcId="{DDB34320-FBCF-425D-A86F-7221FC91E8A6}" destId="{EE8FFDDA-2518-4054-BF62-68142A57276A}" srcOrd="5" destOrd="0" presId="urn:microsoft.com/office/officeart/2005/8/layout/process1"/>
    <dgm:cxn modelId="{229EBB8B-1DD3-4BD9-B1C3-7EAED8ECD2C4}" type="presParOf" srcId="{EE8FFDDA-2518-4054-BF62-68142A57276A}" destId="{938EA068-E205-4BAA-88B9-3E98F9FD78E3}" srcOrd="0" destOrd="0" presId="urn:microsoft.com/office/officeart/2005/8/layout/process1"/>
    <dgm:cxn modelId="{2F39B8F4-5D6A-4612-91BE-3B4E89CFFC89}" type="presParOf" srcId="{DDB34320-FBCF-425D-A86F-7221FC91E8A6}" destId="{60BE5BE0-1787-414B-95D3-8002660FE51A}" srcOrd="6" destOrd="0" presId="urn:microsoft.com/office/officeart/2005/8/layout/process1"/>
    <dgm:cxn modelId="{D841E7F7-E8FB-4AA6-97FB-E8A64534C984}" type="presParOf" srcId="{DDB34320-FBCF-425D-A86F-7221FC91E8A6}" destId="{E580A35F-3D6A-486D-B453-741DB1205FBE}" srcOrd="7" destOrd="0" presId="urn:microsoft.com/office/officeart/2005/8/layout/process1"/>
    <dgm:cxn modelId="{4E36F206-5323-4FB7-B610-091204E07E38}" type="presParOf" srcId="{E580A35F-3D6A-486D-B453-741DB1205FBE}" destId="{BD910DC8-E760-4169-BFAB-DC76DB2A67F6}" srcOrd="0" destOrd="0" presId="urn:microsoft.com/office/officeart/2005/8/layout/process1"/>
    <dgm:cxn modelId="{5F455C09-37E7-4C8B-95AE-B1B3EFF76DBB}" type="presParOf" srcId="{DDB34320-FBCF-425D-A86F-7221FC91E8A6}" destId="{66E921B5-587A-4688-9765-0723A2790E00}" srcOrd="8" destOrd="0" presId="urn:microsoft.com/office/officeart/2005/8/layout/process1"/>
  </dgm:cxnLst>
  <dgm:bg/>
  <dgm:whole>
    <a:ln>
      <a:solidFill>
        <a:schemeClr val="accent1"/>
      </a:solid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4CD957-671E-4B22-8532-08C7C716C356}">
      <dsp:nvSpPr>
        <dsp:cNvPr id="0" name=""/>
        <dsp:cNvSpPr/>
      </dsp:nvSpPr>
      <dsp:spPr>
        <a:xfrm>
          <a:off x="3111" y="293537"/>
          <a:ext cx="964641" cy="578785"/>
        </a:xfrm>
        <a:prstGeom prst="roundRect">
          <a:avLst>
            <a:gd name="adj" fmla="val 10000"/>
          </a:avLst>
        </a:prstGeom>
        <a:solidFill>
          <a:schemeClr val="accent6">
            <a:lumMod val="20000"/>
            <a:lumOff val="8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n>
                <a:noFill/>
              </a:ln>
              <a:solidFill>
                <a:sysClr val="windowText" lastClr="000000"/>
              </a:solidFill>
            </a:rPr>
            <a:t>Community selects Service Provider for LSLI project</a:t>
          </a:r>
        </a:p>
      </dsp:txBody>
      <dsp:txXfrm>
        <a:off x="20063" y="310489"/>
        <a:ext cx="930737" cy="544881"/>
      </dsp:txXfrm>
    </dsp:sp>
    <dsp:sp modelId="{FAECE210-844D-4E05-A75A-429D7209C4E3}">
      <dsp:nvSpPr>
        <dsp:cNvPr id="0" name=""/>
        <dsp:cNvSpPr/>
      </dsp:nvSpPr>
      <dsp:spPr>
        <a:xfrm>
          <a:off x="1064217" y="463314"/>
          <a:ext cx="204504" cy="239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n>
              <a:noFill/>
            </a:ln>
          </a:endParaRPr>
        </a:p>
      </dsp:txBody>
      <dsp:txXfrm>
        <a:off x="1064217" y="511160"/>
        <a:ext cx="143153" cy="143539"/>
      </dsp:txXfrm>
    </dsp:sp>
    <dsp:sp modelId="{646BB46F-C36A-469E-80A5-8B51D884EA64}">
      <dsp:nvSpPr>
        <dsp:cNvPr id="0" name=""/>
        <dsp:cNvSpPr/>
      </dsp:nvSpPr>
      <dsp:spPr>
        <a:xfrm>
          <a:off x="1353610" y="293537"/>
          <a:ext cx="964641" cy="578785"/>
        </a:xfrm>
        <a:prstGeom prst="roundRect">
          <a:avLst>
            <a:gd name="adj" fmla="val 10000"/>
          </a:avLst>
        </a:prstGeom>
        <a:solidFill>
          <a:schemeClr val="accent6">
            <a:lumMod val="40000"/>
            <a:lumOff val="6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n>
                <a:noFill/>
              </a:ln>
              <a:solidFill>
                <a:sysClr val="windowText" lastClr="000000"/>
              </a:solidFill>
            </a:rPr>
            <a:t>Community/Service Provider submits application</a:t>
          </a:r>
        </a:p>
      </dsp:txBody>
      <dsp:txXfrm>
        <a:off x="1370562" y="310489"/>
        <a:ext cx="930737" cy="544881"/>
      </dsp:txXfrm>
    </dsp:sp>
    <dsp:sp modelId="{FAB7B040-736E-40B6-A3AF-E3B8E18E4E5A}">
      <dsp:nvSpPr>
        <dsp:cNvPr id="0" name=""/>
        <dsp:cNvSpPr/>
      </dsp:nvSpPr>
      <dsp:spPr>
        <a:xfrm>
          <a:off x="2414716" y="463314"/>
          <a:ext cx="204504" cy="239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n>
              <a:noFill/>
            </a:ln>
          </a:endParaRPr>
        </a:p>
      </dsp:txBody>
      <dsp:txXfrm>
        <a:off x="2414716" y="511160"/>
        <a:ext cx="143153" cy="143539"/>
      </dsp:txXfrm>
    </dsp:sp>
    <dsp:sp modelId="{6C1DFD8F-C016-476D-A5C8-559FA4062B27}">
      <dsp:nvSpPr>
        <dsp:cNvPr id="0" name=""/>
        <dsp:cNvSpPr/>
      </dsp:nvSpPr>
      <dsp:spPr>
        <a:xfrm>
          <a:off x="2704109" y="293537"/>
          <a:ext cx="964641" cy="578785"/>
        </a:xfrm>
        <a:prstGeom prst="roundRect">
          <a:avLst>
            <a:gd name="adj" fmla="val 10000"/>
          </a:avLst>
        </a:prstGeom>
        <a:solidFill>
          <a:schemeClr val="accent6">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n>
                <a:noFill/>
              </a:ln>
              <a:solidFill>
                <a:sysClr val="windowText" lastClr="000000"/>
              </a:solidFill>
            </a:rPr>
            <a:t>IFA reviews application &amp; awards community</a:t>
          </a:r>
        </a:p>
      </dsp:txBody>
      <dsp:txXfrm>
        <a:off x="2721061" y="310489"/>
        <a:ext cx="930737" cy="544881"/>
      </dsp:txXfrm>
    </dsp:sp>
    <dsp:sp modelId="{EE8FFDDA-2518-4054-BF62-68142A57276A}">
      <dsp:nvSpPr>
        <dsp:cNvPr id="0" name=""/>
        <dsp:cNvSpPr/>
      </dsp:nvSpPr>
      <dsp:spPr>
        <a:xfrm>
          <a:off x="3765215" y="463314"/>
          <a:ext cx="204504" cy="239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n>
              <a:noFill/>
            </a:ln>
          </a:endParaRPr>
        </a:p>
      </dsp:txBody>
      <dsp:txXfrm>
        <a:off x="3765215" y="511160"/>
        <a:ext cx="143153" cy="143539"/>
      </dsp:txXfrm>
    </dsp:sp>
    <dsp:sp modelId="{60BE5BE0-1787-414B-95D3-8002660FE51A}">
      <dsp:nvSpPr>
        <dsp:cNvPr id="0" name=""/>
        <dsp:cNvSpPr/>
      </dsp:nvSpPr>
      <dsp:spPr>
        <a:xfrm>
          <a:off x="4054607" y="293537"/>
          <a:ext cx="964641" cy="57878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n>
                <a:noFill/>
              </a:ln>
              <a:solidFill>
                <a:sysClr val="windowText" lastClr="000000"/>
              </a:solidFill>
            </a:rPr>
            <a:t>IFA enters into PSA with Service Provider for project(s)</a:t>
          </a:r>
        </a:p>
      </dsp:txBody>
      <dsp:txXfrm>
        <a:off x="4071559" y="310489"/>
        <a:ext cx="930737" cy="544881"/>
      </dsp:txXfrm>
    </dsp:sp>
    <dsp:sp modelId="{E580A35F-3D6A-486D-B453-741DB1205FBE}">
      <dsp:nvSpPr>
        <dsp:cNvPr id="0" name=""/>
        <dsp:cNvSpPr/>
      </dsp:nvSpPr>
      <dsp:spPr>
        <a:xfrm>
          <a:off x="5115713" y="463314"/>
          <a:ext cx="204504" cy="23923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ln>
              <a:noFill/>
            </a:ln>
          </a:endParaRPr>
        </a:p>
      </dsp:txBody>
      <dsp:txXfrm>
        <a:off x="5115713" y="511160"/>
        <a:ext cx="143153" cy="143539"/>
      </dsp:txXfrm>
    </dsp:sp>
    <dsp:sp modelId="{66E921B5-587A-4688-9765-0723A2790E00}">
      <dsp:nvSpPr>
        <dsp:cNvPr id="0" name=""/>
        <dsp:cNvSpPr/>
      </dsp:nvSpPr>
      <dsp:spPr>
        <a:xfrm>
          <a:off x="5405106" y="293537"/>
          <a:ext cx="964641" cy="578785"/>
        </a:xfrm>
        <a:prstGeom prst="roundRect">
          <a:avLst>
            <a:gd name="adj" fmla="val 10000"/>
          </a:avLst>
        </a:prstGeom>
        <a:solidFill>
          <a:schemeClr val="accent6">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b="1" kern="1200">
              <a:ln>
                <a:noFill/>
              </a:ln>
              <a:solidFill>
                <a:sysClr val="windowText" lastClr="000000"/>
              </a:solidFill>
            </a:rPr>
            <a:t>IFA pays Service Provider directly for project </a:t>
          </a:r>
        </a:p>
      </dsp:txBody>
      <dsp:txXfrm>
        <a:off x="5422058" y="310489"/>
        <a:ext cx="930737" cy="5448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10096-403B-4E21-99E6-634C112B5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11</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Erica (IFA)</dc:creator>
  <cp:keywords/>
  <dc:description/>
  <cp:lastModifiedBy>Hudson, Sarah</cp:lastModifiedBy>
  <cp:revision>30</cp:revision>
  <cp:lastPrinted>2023-03-24T17:46:00Z</cp:lastPrinted>
  <dcterms:created xsi:type="dcterms:W3CDTF">2023-12-19T17:12:00Z</dcterms:created>
  <dcterms:modified xsi:type="dcterms:W3CDTF">2024-01-16T15:15:00Z</dcterms:modified>
</cp:coreProperties>
</file>