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8C" w:rsidRPr="008C1F0F" w:rsidRDefault="00D4248C" w:rsidP="009573C6">
      <w:pPr>
        <w:pStyle w:val="Heading1"/>
        <w:jc w:val="both"/>
        <w:rPr>
          <w:rFonts w:ascii="Arial" w:hAnsi="Arial"/>
        </w:rPr>
      </w:pPr>
      <w:r w:rsidRPr="008C1F0F">
        <w:rPr>
          <w:rFonts w:ascii="Arial" w:hAnsi="Arial"/>
        </w:rPr>
        <w:t xml:space="preserve">SECTION </w:t>
      </w:r>
      <w:r w:rsidR="00D2066D" w:rsidRPr="008C1F0F">
        <w:rPr>
          <w:rFonts w:ascii="Arial" w:hAnsi="Arial"/>
        </w:rPr>
        <w:t>V</w:t>
      </w:r>
      <w:r w:rsidRPr="008C1F0F">
        <w:rPr>
          <w:rFonts w:ascii="Arial" w:hAnsi="Arial"/>
        </w:rPr>
        <w:t>.</w:t>
      </w:r>
      <w:r w:rsidRPr="008C1F0F">
        <w:rPr>
          <w:rFonts w:ascii="Arial" w:hAnsi="Arial"/>
        </w:rPr>
        <w:br/>
      </w:r>
      <w:r w:rsidR="00D2066D" w:rsidRPr="008C1F0F">
        <w:rPr>
          <w:rFonts w:ascii="Arial" w:hAnsi="Arial"/>
        </w:rPr>
        <w:t>Specific Program Requirements, 91.320 (k)</w:t>
      </w:r>
    </w:p>
    <w:p w:rsidR="00A21F4C" w:rsidRPr="008C1F0F" w:rsidRDefault="00A21F4C" w:rsidP="009573C6">
      <w:pPr>
        <w:pStyle w:val="BodyText"/>
        <w:jc w:val="both"/>
        <w:rPr>
          <w:rFonts w:ascii="Arial" w:hAnsi="Arial" w:cs="Arial"/>
        </w:rPr>
      </w:pPr>
      <w:r w:rsidRPr="008C1F0F">
        <w:rPr>
          <w:rFonts w:ascii="Arial" w:hAnsi="Arial" w:cs="Arial"/>
        </w:rPr>
        <w:t xml:space="preserve">This section discusses the program specific requirements for the four block grant programs covered under the 2012 Action Plan: CDBG, HOME, ESG and HOPWA. </w:t>
      </w:r>
    </w:p>
    <w:p w:rsidR="009A2584" w:rsidRPr="008C1F0F" w:rsidRDefault="000819F8" w:rsidP="009573C6">
      <w:pPr>
        <w:pStyle w:val="Heading2"/>
        <w:jc w:val="both"/>
        <w:rPr>
          <w:rFonts w:ascii="Arial" w:hAnsi="Arial"/>
        </w:rPr>
      </w:pPr>
      <w:r w:rsidRPr="008C1F0F">
        <w:rPr>
          <w:rFonts w:ascii="Arial" w:hAnsi="Arial"/>
        </w:rPr>
        <w:t>CDBG R</w:t>
      </w:r>
      <w:r w:rsidR="008631A6" w:rsidRPr="008C1F0F">
        <w:rPr>
          <w:rFonts w:ascii="Arial" w:hAnsi="Arial"/>
        </w:rPr>
        <w:t>equirements</w:t>
      </w:r>
      <w:r w:rsidR="009A2584" w:rsidRPr="008C1F0F">
        <w:rPr>
          <w:rFonts w:ascii="Arial" w:hAnsi="Arial"/>
        </w:rPr>
        <w:t>, 91.320 (k)(1)</w:t>
      </w:r>
      <w:r w:rsidR="008631A6" w:rsidRPr="008C1F0F">
        <w:rPr>
          <w:rFonts w:ascii="Arial" w:hAnsi="Arial"/>
        </w:rPr>
        <w:t xml:space="preserve"> </w:t>
      </w:r>
    </w:p>
    <w:p w:rsidR="008631A6" w:rsidRPr="008C1F0F" w:rsidRDefault="008631A6" w:rsidP="009573C6">
      <w:pPr>
        <w:pStyle w:val="BodyText"/>
        <w:jc w:val="both"/>
        <w:rPr>
          <w:rFonts w:ascii="Arial" w:hAnsi="Arial" w:cs="Arial"/>
        </w:rPr>
      </w:pPr>
      <w:r w:rsidRPr="008C1F0F">
        <w:rPr>
          <w:rFonts w:ascii="Arial" w:hAnsi="Arial" w:cs="Arial"/>
        </w:rPr>
        <w:t xml:space="preserve">All activities, which are eligible for federal CDBG funding under Section 105 of the Federal Housing and Community Development Act of 1974, as, amended (Federal Act), are eligible for funding under the Indiana Office of Community and Rural </w:t>
      </w:r>
      <w:r w:rsidR="00FB1AB5" w:rsidRPr="008C1F0F">
        <w:rPr>
          <w:rFonts w:ascii="Arial" w:hAnsi="Arial" w:cs="Arial"/>
        </w:rPr>
        <w:t xml:space="preserve">Affairs’ </w:t>
      </w:r>
      <w:r w:rsidR="00A21F4C" w:rsidRPr="008C1F0F">
        <w:rPr>
          <w:rFonts w:ascii="Arial" w:hAnsi="Arial" w:cs="Arial"/>
        </w:rPr>
        <w:t xml:space="preserve">(OCRA) </w:t>
      </w:r>
      <w:r w:rsidR="00FB1AB5" w:rsidRPr="008C1F0F">
        <w:rPr>
          <w:rFonts w:ascii="Arial" w:hAnsi="Arial" w:cs="Arial"/>
        </w:rPr>
        <w:t>FY2012</w:t>
      </w:r>
      <w:r w:rsidRPr="008C1F0F">
        <w:rPr>
          <w:rFonts w:ascii="Arial" w:hAnsi="Arial" w:cs="Arial"/>
        </w:rPr>
        <w:t xml:space="preserve"> CDBG program. A complete description of the FY</w:t>
      </w:r>
      <w:r w:rsidR="00FB1AB5" w:rsidRPr="008C1F0F">
        <w:rPr>
          <w:rFonts w:ascii="Arial" w:hAnsi="Arial" w:cs="Arial"/>
        </w:rPr>
        <w:t>2012</w:t>
      </w:r>
      <w:r w:rsidRPr="008C1F0F">
        <w:rPr>
          <w:rFonts w:ascii="Arial" w:hAnsi="Arial" w:cs="Arial"/>
        </w:rPr>
        <w:t xml:space="preserve"> CDBG Method of Distribution for </w:t>
      </w:r>
      <w:r w:rsidR="00A21F4C" w:rsidRPr="008C1F0F">
        <w:rPr>
          <w:rFonts w:ascii="Arial" w:hAnsi="Arial" w:cs="Arial"/>
        </w:rPr>
        <w:t>OCRA</w:t>
      </w:r>
      <w:r w:rsidRPr="008C1F0F">
        <w:rPr>
          <w:rFonts w:ascii="Arial" w:hAnsi="Arial" w:cs="Arial"/>
        </w:rPr>
        <w:t xml:space="preserve"> is included in Appendix </w:t>
      </w:r>
      <w:r w:rsidR="002A45CA" w:rsidRPr="008C1F0F">
        <w:rPr>
          <w:rFonts w:ascii="Arial" w:hAnsi="Arial" w:cs="Arial"/>
        </w:rPr>
        <w:t>D and IHCDA’s Solution Allocation Process is included in Appendix F.</w:t>
      </w:r>
    </w:p>
    <w:p w:rsidR="008631A6" w:rsidRPr="008C1F0F" w:rsidRDefault="008631A6" w:rsidP="009573C6">
      <w:pPr>
        <w:pStyle w:val="BodyText"/>
        <w:jc w:val="both"/>
        <w:rPr>
          <w:rFonts w:ascii="Arial" w:hAnsi="Arial" w:cs="Arial"/>
        </w:rPr>
      </w:pPr>
      <w:r w:rsidRPr="008C1F0F">
        <w:rPr>
          <w:rStyle w:val="Heading30"/>
          <w:rFonts w:ascii="Arial" w:hAnsi="Arial" w:cs="Arial"/>
        </w:rPr>
        <w:t>Method of distribution.</w:t>
      </w:r>
      <w:r w:rsidRPr="008C1F0F">
        <w:rPr>
          <w:rFonts w:ascii="Arial" w:hAnsi="Arial" w:cs="Arial"/>
        </w:rPr>
        <w:t xml:space="preserve"> The </w:t>
      </w:r>
      <w:r w:rsidR="002A45CA" w:rsidRPr="008C1F0F">
        <w:rPr>
          <w:rFonts w:ascii="Arial" w:hAnsi="Arial" w:cs="Arial"/>
        </w:rPr>
        <w:t>OCRA</w:t>
      </w:r>
      <w:r w:rsidRPr="008C1F0F">
        <w:rPr>
          <w:rFonts w:ascii="Arial" w:hAnsi="Arial" w:cs="Arial"/>
        </w:rPr>
        <w:t xml:space="preserve"> reserves the right to prioritize its method of funding; the </w:t>
      </w:r>
      <w:r w:rsidR="002A45CA" w:rsidRPr="008C1F0F">
        <w:rPr>
          <w:rFonts w:ascii="Arial" w:hAnsi="Arial" w:cs="Arial"/>
        </w:rPr>
        <w:t>OCRA</w:t>
      </w:r>
      <w:r w:rsidRPr="008C1F0F">
        <w:rPr>
          <w:rFonts w:ascii="Arial" w:hAnsi="Arial" w:cs="Arial"/>
        </w:rPr>
        <w:t xml:space="preserve"> prefers to expend federal CDBG funds on activities/projects which will produce tangible results for principally low and moderate income persons in Indiana.  Funding decisions will be made using criteria and rating systems, which are used for the State's programs and are subject to the availability of funds.  It shall be the policy under the state program to give priority to using CDBG funds to pay for actual project costs and not to local administrative costs. The State of Indiana certifies that not less than seventy-percent (70 percent</w:t>
      </w:r>
      <w:r w:rsidR="00FB1AB5" w:rsidRPr="008C1F0F">
        <w:rPr>
          <w:rFonts w:ascii="Arial" w:hAnsi="Arial" w:cs="Arial"/>
        </w:rPr>
        <w:t>) of FY2012</w:t>
      </w:r>
      <w:r w:rsidRPr="008C1F0F">
        <w:rPr>
          <w:rFonts w:ascii="Arial" w:hAnsi="Arial" w:cs="Arial"/>
        </w:rPr>
        <w:t xml:space="preserve"> CDBG funds will be expended for activities principally benefiting low and moderate income persons, as prescribed by 24 CFR 570.484, et. seq.</w:t>
      </w:r>
    </w:p>
    <w:p w:rsidR="00EE1A3B" w:rsidRPr="00C12048" w:rsidRDefault="008631A6" w:rsidP="00C12048">
      <w:pPr>
        <w:autoSpaceDE w:val="0"/>
        <w:autoSpaceDN w:val="0"/>
        <w:adjustRightInd w:val="0"/>
        <w:jc w:val="both"/>
        <w:rPr>
          <w:rStyle w:val="Heading30"/>
          <w:rFonts w:ascii="Arial" w:hAnsi="Arial" w:cs="Arial"/>
          <w:b w:val="0"/>
          <w:spacing w:val="0"/>
          <w:sz w:val="22"/>
          <w:szCs w:val="22"/>
        </w:rPr>
      </w:pPr>
      <w:proofErr w:type="gramStart"/>
      <w:r w:rsidRPr="00C12048">
        <w:rPr>
          <w:rStyle w:val="Heading30"/>
          <w:rFonts w:ascii="Arial" w:hAnsi="Arial" w:cs="Arial"/>
          <w:highlight w:val="yellow"/>
        </w:rPr>
        <w:t xml:space="preserve">Section 108 </w:t>
      </w:r>
      <w:r w:rsidR="008C1F0F" w:rsidRPr="00C12048">
        <w:rPr>
          <w:rStyle w:val="Heading30"/>
          <w:rFonts w:ascii="Arial" w:hAnsi="Arial" w:cs="Arial"/>
          <w:highlight w:val="yellow"/>
        </w:rPr>
        <w:t>Loan Guarantee Program</w:t>
      </w:r>
      <w:r w:rsidRPr="00C12048">
        <w:rPr>
          <w:rStyle w:val="Heading30"/>
          <w:rFonts w:ascii="Arial" w:hAnsi="Arial" w:cs="Arial"/>
          <w:highlight w:val="yellow"/>
        </w:rPr>
        <w:t>.</w:t>
      </w:r>
      <w:proofErr w:type="gramEnd"/>
      <w:r w:rsidRPr="00C12048">
        <w:rPr>
          <w:rFonts w:ascii="Arial" w:hAnsi="Arial" w:cs="Arial"/>
          <w:highlight w:val="yellow"/>
        </w:rPr>
        <w:t xml:space="preserve"> </w:t>
      </w:r>
      <w:r w:rsidR="008C1F0F" w:rsidRPr="00C12048">
        <w:rPr>
          <w:rFonts w:ascii="Arial" w:hAnsi="Arial" w:cs="Arial"/>
          <w:highlight w:val="yellow"/>
        </w:rPr>
        <w:t xml:space="preserve">  The State of Indiana pledges future CDBG allocations as security for loans in accordance with the HUD Section 108 Loan Guarantee Program Final Rule published November 6, 1991.  Applications may be submitted at any time during the year, as long as funds are available from HUD.  The minimum loan amount is $1,000,000 and the maximum loan amount is $</w:t>
      </w:r>
      <w:r w:rsidR="0071774F" w:rsidRPr="00C12048">
        <w:rPr>
          <w:rFonts w:ascii="Arial" w:hAnsi="Arial" w:cs="Arial"/>
          <w:highlight w:val="yellow"/>
        </w:rPr>
        <w:t>7</w:t>
      </w:r>
      <w:r w:rsidR="008C1F0F" w:rsidRPr="00C12048">
        <w:rPr>
          <w:rFonts w:ascii="Arial" w:hAnsi="Arial" w:cs="Arial"/>
          <w:highlight w:val="yellow"/>
        </w:rPr>
        <w:t xml:space="preserve">,000,000.  The state may enter into loan guarantee agreements in support of projects sponsored by an individual local government.  Project must meet minimum criteria with respect to equity, collateral and underwriting </w:t>
      </w:r>
      <w:r w:rsidR="008C1F0F" w:rsidRPr="00C12048">
        <w:rPr>
          <w:rFonts w:ascii="Arial" w:hAnsi="Arial" w:cs="Arial"/>
          <w:szCs w:val="22"/>
          <w:highlight w:val="yellow"/>
        </w:rPr>
        <w:t xml:space="preserve">standards.    </w:t>
      </w:r>
      <w:r w:rsidR="00EE1A3B" w:rsidRPr="00C12048">
        <w:rPr>
          <w:rFonts w:ascii="Arial" w:hAnsi="Arial" w:cs="Arial"/>
          <w:szCs w:val="22"/>
          <w:highlight w:val="yellow"/>
        </w:rPr>
        <w:t>The CDBG Loan Guarantee Program (Section 108 Program) is an economic and community development financing tool authorized under Section 108 of Title I of the Housing and Community Development Act of 1974, as amended. The program provides</w:t>
      </w:r>
      <w:r w:rsidR="00C12048" w:rsidRPr="00C12048">
        <w:rPr>
          <w:rFonts w:ascii="Arial" w:hAnsi="Arial" w:cs="Arial"/>
          <w:szCs w:val="22"/>
          <w:highlight w:val="yellow"/>
        </w:rPr>
        <w:t xml:space="preserve"> </w:t>
      </w:r>
      <w:r w:rsidR="00EE1A3B" w:rsidRPr="00C12048">
        <w:rPr>
          <w:rFonts w:ascii="Arial" w:hAnsi="Arial" w:cs="Arial"/>
          <w:szCs w:val="22"/>
          <w:highlight w:val="yellow"/>
        </w:rPr>
        <w:t xml:space="preserve">a method of assisting non-entitlement local governments with certain unique and large-scale economic development projects that cannot proceed without the loan guarantee. In order to be eligible a project must meet all applicable CDBG requirements and result in significant employment opportunities and/or benefits for low- and moderate-income persons. Unlike the traditional CDBG Program, the Section 108 Program does not operate through assistance from the Office of Community and Rural Affairs (OCRA) or Indiana Housing and Community Development Authority. Rather, funds are raised through OCRA’s “Pledge of Grants” to the U.S. Department of Housing and Urban Development (HUD) in order to obtain a federal guarantee of notes issued by the local government. The federally guaranteed notes are sold into private markets through public offerings conducted by HUD. By approving the project, a State pledges its future CDBG funds as the ultimate repayment source should </w:t>
      </w:r>
      <w:r w:rsidR="00EE1A3B" w:rsidRPr="00C12048">
        <w:rPr>
          <w:rFonts w:ascii="Arial" w:hAnsi="Arial" w:cs="Arial"/>
          <w:szCs w:val="22"/>
          <w:highlight w:val="yellow"/>
        </w:rPr>
        <w:lastRenderedPageBreak/>
        <w:t>a Section 108 loan default. The State’s participation in the Section 108 program does not involve a pledge of Indiana’s full faith and credit nor does it commit any funding to the local government. HUD makes the ultimate approval or denial of the federal guarantee.</w:t>
      </w:r>
    </w:p>
    <w:p w:rsidR="00C12048" w:rsidRDefault="00C12048" w:rsidP="009573C6">
      <w:pPr>
        <w:pStyle w:val="BodyText"/>
        <w:jc w:val="both"/>
        <w:rPr>
          <w:rStyle w:val="Heading30"/>
          <w:rFonts w:ascii="Arial" w:hAnsi="Arial" w:cs="Arial"/>
        </w:rPr>
      </w:pPr>
    </w:p>
    <w:p w:rsidR="008631A6" w:rsidRPr="008C1F0F" w:rsidRDefault="008631A6" w:rsidP="009573C6">
      <w:pPr>
        <w:pStyle w:val="BodyText"/>
        <w:jc w:val="both"/>
        <w:rPr>
          <w:rFonts w:ascii="Arial" w:hAnsi="Arial" w:cs="Arial"/>
        </w:rPr>
      </w:pPr>
      <w:proofErr w:type="gramStart"/>
      <w:r w:rsidRPr="008C1F0F">
        <w:rPr>
          <w:rStyle w:val="Heading30"/>
          <w:rFonts w:ascii="Arial" w:hAnsi="Arial" w:cs="Arial"/>
        </w:rPr>
        <w:t>CDBG housing.</w:t>
      </w:r>
      <w:proofErr w:type="gramEnd"/>
      <w:r w:rsidRPr="008C1F0F">
        <w:rPr>
          <w:rFonts w:ascii="Arial" w:hAnsi="Arial" w:cs="Arial"/>
        </w:rPr>
        <w:t xml:space="preserve"> OCRA has contracted with IHCDA to administer funds allocated to the State's Housing Program. IHCDA will act as the administrative agent on behalf of OCRA. IHCDA will implement the following activities in conjunction with administration of the CDBG grant for housing-related activities. </w:t>
      </w:r>
    </w:p>
    <w:p w:rsidR="00D4248C" w:rsidRPr="008C1F0F" w:rsidRDefault="00D4248C" w:rsidP="009573C6">
      <w:pPr>
        <w:pStyle w:val="BodyText"/>
        <w:jc w:val="both"/>
        <w:rPr>
          <w:rFonts w:ascii="Arial" w:hAnsi="Arial" w:cs="Arial"/>
        </w:rPr>
      </w:pPr>
    </w:p>
    <w:sectPr w:rsidR="00D4248C" w:rsidRPr="008C1F0F" w:rsidSect="002E70EC">
      <w:footerReference w:type="even" r:id="rId8"/>
      <w:footerReference w:type="default" r:id="rId9"/>
      <w:pgSz w:w="12240" w:h="15840" w:code="1"/>
      <w:pgMar w:top="1440" w:right="1584" w:bottom="1170" w:left="1548" w:header="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74F" w:rsidRDefault="0071774F">
      <w:r>
        <w:separator/>
      </w:r>
    </w:p>
  </w:endnote>
  <w:endnote w:type="continuationSeparator" w:id="0">
    <w:p w:rsidR="0071774F" w:rsidRDefault="00717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one Sans">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tone Sans Bold">
    <w:altName w:val="Geneva"/>
    <w:charset w:val="00"/>
    <w:family w:val="swiss"/>
    <w:pitch w:val="variable"/>
    <w:sig w:usb0="00000003" w:usb1="00000000" w:usb2="00000000" w:usb3="00000000" w:csb0="00000001" w:csb1="00000000"/>
  </w:font>
  <w:font w:name="StoneSansITC TT">
    <w:altName w:val="Courier New"/>
    <w:charset w:val="00"/>
    <w:family w:val="auto"/>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ansSemiITC T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4F" w:rsidRDefault="0071774F">
    <w:pPr>
      <w:pStyle w:val="Footer"/>
    </w:pPr>
    <w:r>
      <w:t xml:space="preserve">Section v, Page </w:t>
    </w:r>
    <w:r w:rsidR="00FC14E2">
      <w:rPr>
        <w:rStyle w:val="PageNumber"/>
      </w:rPr>
      <w:fldChar w:fldCharType="begin"/>
    </w:r>
    <w:r>
      <w:rPr>
        <w:rStyle w:val="PageNumber"/>
      </w:rPr>
      <w:instrText xml:space="preserve"> PAGE </w:instrText>
    </w:r>
    <w:r w:rsidR="00FC14E2">
      <w:rPr>
        <w:rStyle w:val="PageNumber"/>
      </w:rPr>
      <w:fldChar w:fldCharType="separate"/>
    </w:r>
    <w:r w:rsidR="00185686">
      <w:rPr>
        <w:rStyle w:val="PageNumber"/>
        <w:noProof/>
      </w:rPr>
      <w:t>2</w:t>
    </w:r>
    <w:r w:rsidR="00FC14E2">
      <w:rPr>
        <w:rStyle w:val="PageNumber"/>
      </w:rPr>
      <w:fldChar w:fldCharType="end"/>
    </w:r>
    <w:r w:rsidR="00C12048">
      <w:rPr>
        <w:rStyle w:val="PageNumber"/>
      </w:rPr>
      <w:t xml:space="preserve"> </w:t>
    </w:r>
    <w:r>
      <w:rPr>
        <w:rStyle w:val="PageNumber"/>
      </w:rPr>
      <w:tab/>
    </w:r>
    <w:r w:rsidR="00C12048">
      <w:rPr>
        <w:rStyle w:val="PageNumber"/>
      </w:rPr>
      <w:t>Amendment #1 8.26.12</w:t>
    </w:r>
    <w:r w:rsidR="00D0539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4F" w:rsidRDefault="00C12048">
    <w:pPr>
      <w:pStyle w:val="Footer"/>
    </w:pPr>
    <w:r w:rsidRPr="00227748">
      <w:rPr>
        <w:szCs w:val="18"/>
      </w:rPr>
      <w:t xml:space="preserve">Section </w:t>
    </w:r>
    <w:r>
      <w:rPr>
        <w:szCs w:val="18"/>
      </w:rPr>
      <w:t>v</w:t>
    </w:r>
    <w:r w:rsidRPr="00227748">
      <w:rPr>
        <w:szCs w:val="18"/>
      </w:rPr>
      <w:t>, Page</w:t>
    </w:r>
    <w:r>
      <w:t xml:space="preserve"> </w:t>
    </w:r>
    <w:r w:rsidR="00FC14E2">
      <w:rPr>
        <w:rStyle w:val="PageNumber"/>
      </w:rPr>
      <w:fldChar w:fldCharType="begin"/>
    </w:r>
    <w:r>
      <w:rPr>
        <w:rStyle w:val="PageNumber"/>
      </w:rPr>
      <w:instrText xml:space="preserve"> PAGE </w:instrText>
    </w:r>
    <w:r w:rsidR="00FC14E2">
      <w:rPr>
        <w:rStyle w:val="PageNumber"/>
      </w:rPr>
      <w:fldChar w:fldCharType="separate"/>
    </w:r>
    <w:r w:rsidR="00185686">
      <w:rPr>
        <w:rStyle w:val="PageNumber"/>
        <w:noProof/>
      </w:rPr>
      <w:t>1</w:t>
    </w:r>
    <w:r w:rsidR="00FC14E2">
      <w:rPr>
        <w:rStyle w:val="PageNumber"/>
      </w:rPr>
      <w:fldChar w:fldCharType="end"/>
    </w:r>
    <w:r w:rsidR="0071774F" w:rsidRPr="00227748">
      <w:rPr>
        <w:szCs w:val="18"/>
      </w:rPr>
      <w:tab/>
    </w:r>
    <w:r>
      <w:rPr>
        <w:szCs w:val="18"/>
      </w:rPr>
      <w:t>Amendment #1 – 8.26.12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74F" w:rsidRDefault="0071774F">
      <w:r>
        <w:separator/>
      </w:r>
    </w:p>
  </w:footnote>
  <w:footnote w:type="continuationSeparator" w:id="0">
    <w:p w:rsidR="0071774F" w:rsidRDefault="00717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217"/>
    <w:multiLevelType w:val="hybridMultilevel"/>
    <w:tmpl w:val="AB2A0D7A"/>
    <w:lvl w:ilvl="0" w:tplc="355C9762">
      <w:start w:val="1"/>
      <w:numFmt w:val="bullet"/>
      <w:lvlText w:val=""/>
      <w:lvlJc w:val="left"/>
      <w:pPr>
        <w:tabs>
          <w:tab w:val="num" w:pos="1339"/>
        </w:tabs>
        <w:ind w:left="1339" w:hanging="446"/>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D0EFB"/>
    <w:multiLevelType w:val="hybridMultilevel"/>
    <w:tmpl w:val="26060F0C"/>
    <w:lvl w:ilvl="0" w:tplc="4FC0C7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4054C"/>
    <w:multiLevelType w:val="hybridMultilevel"/>
    <w:tmpl w:val="CE60F0AA"/>
    <w:lvl w:ilvl="0" w:tplc="4D5AE584">
      <w:start w:val="1"/>
      <w:numFmt w:val="decimal"/>
      <w:pStyle w:val="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964E2"/>
    <w:multiLevelType w:val="hybridMultilevel"/>
    <w:tmpl w:val="6178C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12CE7"/>
    <w:multiLevelType w:val="hybridMultilevel"/>
    <w:tmpl w:val="22FEB4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BC0F09"/>
    <w:multiLevelType w:val="hybridMultilevel"/>
    <w:tmpl w:val="423EC236"/>
    <w:lvl w:ilvl="0" w:tplc="34C25BBE">
      <w:start w:val="1"/>
      <w:numFmt w:val="bullet"/>
      <w:pStyle w:val="Bullets1"/>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5149DF"/>
    <w:multiLevelType w:val="hybridMultilevel"/>
    <w:tmpl w:val="33D251D0"/>
    <w:lvl w:ilvl="0" w:tplc="A36CE262">
      <w:start w:val="1"/>
      <w:numFmt w:val="decimal"/>
      <w:lvlText w:val="%1."/>
      <w:lvlJc w:val="left"/>
      <w:pPr>
        <w:tabs>
          <w:tab w:val="num" w:pos="360"/>
        </w:tabs>
        <w:ind w:left="360" w:hanging="360"/>
      </w:pPr>
      <w:rPr>
        <w:rFonts w:ascii="Stone Sans" w:hAnsi="Stone Sans"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B02D8"/>
    <w:multiLevelType w:val="hybridMultilevel"/>
    <w:tmpl w:val="C3120FB2"/>
    <w:lvl w:ilvl="0" w:tplc="43E05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3479B"/>
    <w:multiLevelType w:val="hybridMultilevel"/>
    <w:tmpl w:val="F84C3D9E"/>
    <w:lvl w:ilvl="0" w:tplc="55CE531E">
      <w:start w:val="1"/>
      <w:numFmt w:val="bullet"/>
      <w:pStyle w:val="Bullets2"/>
      <w:lvlText w:val=""/>
      <w:lvlJc w:val="left"/>
      <w:pPr>
        <w:tabs>
          <w:tab w:val="num" w:pos="893"/>
        </w:tabs>
        <w:ind w:left="893" w:hanging="447"/>
      </w:pPr>
      <w:rPr>
        <w:rFonts w:ascii="Wingdings 3" w:hAnsi="Wingdings 3"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D75165"/>
    <w:multiLevelType w:val="hybridMultilevel"/>
    <w:tmpl w:val="C1F8E5D2"/>
    <w:lvl w:ilvl="0" w:tplc="4704E986">
      <w:start w:val="1"/>
      <w:numFmt w:val="bullet"/>
      <w:pStyle w:val="ResBullet"/>
      <w:lvlText w:val=""/>
      <w:lvlJc w:val="left"/>
      <w:pPr>
        <w:tabs>
          <w:tab w:val="num" w:pos="446"/>
        </w:tabs>
        <w:ind w:left="446" w:hanging="446"/>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CF6BF1"/>
    <w:multiLevelType w:val="hybridMultilevel"/>
    <w:tmpl w:val="A8C4092A"/>
    <w:lvl w:ilvl="0" w:tplc="D63A070A">
      <w:start w:val="1"/>
      <w:numFmt w:val="decimal"/>
      <w:lvlText w:val="(%1)"/>
      <w:lvlJc w:val="left"/>
      <w:pPr>
        <w:tabs>
          <w:tab w:val="num" w:pos="360"/>
        </w:tabs>
        <w:ind w:left="259" w:hanging="259"/>
      </w:pPr>
      <w:rPr>
        <w:rFonts w:ascii="Stone Sans" w:hAnsi="Stone Sans" w:hint="default"/>
        <w:b w:val="0"/>
        <w:i w:val="0"/>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72B4C"/>
    <w:multiLevelType w:val="hybridMultilevel"/>
    <w:tmpl w:val="9036F604"/>
    <w:lvl w:ilvl="0" w:tplc="ADFC33EE">
      <w:start w:val="1"/>
      <w:numFmt w:val="decimal"/>
      <w:lvlText w:val="(%1)"/>
      <w:lvlJc w:val="left"/>
      <w:pPr>
        <w:tabs>
          <w:tab w:val="num" w:pos="360"/>
        </w:tabs>
        <w:ind w:left="216" w:hanging="216"/>
      </w:pPr>
      <w:rPr>
        <w:rFonts w:ascii="Stone Sans" w:hAnsi="Stone Sans" w:hint="default"/>
        <w:sz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7040A1"/>
    <w:multiLevelType w:val="hybridMultilevel"/>
    <w:tmpl w:val="1AF8E0CE"/>
    <w:lvl w:ilvl="0" w:tplc="F5E03020">
      <w:start w:val="1"/>
      <w:numFmt w:val="bullet"/>
      <w:pStyle w:val="Bullets1less"/>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C0E29"/>
    <w:multiLevelType w:val="hybridMultilevel"/>
    <w:tmpl w:val="B1488B98"/>
    <w:lvl w:ilvl="0" w:tplc="EC3ECCBA">
      <w:start w:val="1"/>
      <w:numFmt w:val="bullet"/>
      <w:pStyle w:val="Bullets3"/>
      <w:lvlText w:val=""/>
      <w:lvlJc w:val="left"/>
      <w:pPr>
        <w:tabs>
          <w:tab w:val="num" w:pos="1080"/>
        </w:tabs>
        <w:ind w:left="108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15479C"/>
    <w:multiLevelType w:val="hybridMultilevel"/>
    <w:tmpl w:val="10F26302"/>
    <w:lvl w:ilvl="0" w:tplc="D65E6614">
      <w:start w:val="1"/>
      <w:numFmt w:val="decimal"/>
      <w:lvlText w:val="%1."/>
      <w:lvlJc w:val="left"/>
      <w:pPr>
        <w:tabs>
          <w:tab w:val="num" w:pos="360"/>
        </w:tabs>
        <w:ind w:left="360" w:hanging="360"/>
      </w:pPr>
      <w:rPr>
        <w:rFonts w:ascii="Stone Sans Bold" w:hAnsi="Stone Sans Bold" w:hint="default"/>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A70E60"/>
    <w:multiLevelType w:val="hybridMultilevel"/>
    <w:tmpl w:val="FDF43E86"/>
    <w:lvl w:ilvl="0" w:tplc="B31477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6858BD"/>
    <w:multiLevelType w:val="hybridMultilevel"/>
    <w:tmpl w:val="2D0E0220"/>
    <w:lvl w:ilvl="0" w:tplc="B9B0172E">
      <w:start w:val="1"/>
      <w:numFmt w:val="decimal"/>
      <w:lvlText w:val="%1)"/>
      <w:lvlJc w:val="left"/>
      <w:pPr>
        <w:tabs>
          <w:tab w:val="num" w:pos="360"/>
        </w:tabs>
        <w:ind w:left="360" w:hanging="360"/>
      </w:pPr>
      <w:rPr>
        <w:rFonts w:ascii="Stone Sans Bold" w:hAnsi="Stone Sans Bold" w:hint="default"/>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303D01"/>
    <w:multiLevelType w:val="hybridMultilevel"/>
    <w:tmpl w:val="47F6F6F0"/>
    <w:lvl w:ilvl="0" w:tplc="DE168C6E">
      <w:start w:val="1"/>
      <w:numFmt w:val="lowerLetter"/>
      <w:pStyle w:val="a"/>
      <w:lvlText w:val="%1."/>
      <w:lvlJc w:val="left"/>
      <w:pPr>
        <w:tabs>
          <w:tab w:val="num" w:pos="1080"/>
        </w:tabs>
        <w:ind w:left="1080" w:hanging="360"/>
      </w:pPr>
      <w:rPr>
        <w:rFonts w:ascii="StoneSansITC TT" w:hAnsi="StoneSansITC TT"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E615BA"/>
    <w:multiLevelType w:val="hybridMultilevel"/>
    <w:tmpl w:val="8572FC56"/>
    <w:lvl w:ilvl="0" w:tplc="CD9EAB64">
      <w:start w:val="1"/>
      <w:numFmt w:val="bullet"/>
      <w:lvlText w:val=""/>
      <w:lvlJc w:val="left"/>
      <w:pPr>
        <w:tabs>
          <w:tab w:val="num" w:pos="446"/>
        </w:tabs>
        <w:ind w:left="446" w:hanging="446"/>
      </w:pPr>
      <w:rPr>
        <w:rFonts w:ascii="Wingdings 2" w:hAnsi="Wingdings 2"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882278"/>
    <w:multiLevelType w:val="hybridMultilevel"/>
    <w:tmpl w:val="3B349A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CC6EA7"/>
    <w:multiLevelType w:val="hybridMultilevel"/>
    <w:tmpl w:val="AC7A79EC"/>
    <w:lvl w:ilvl="0" w:tplc="1B285448">
      <w:start w:val="1"/>
      <w:numFmt w:val="bullet"/>
      <w:lvlText w:val=""/>
      <w:lvlJc w:val="left"/>
      <w:pPr>
        <w:tabs>
          <w:tab w:val="num" w:pos="720"/>
        </w:tabs>
        <w:ind w:left="720" w:hanging="360"/>
      </w:pPr>
      <w:rPr>
        <w:rFonts w:ascii="Wingdings 3" w:hAnsi="Wingdings 3" w:hint="default"/>
        <w:sz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7A91509"/>
    <w:multiLevelType w:val="hybridMultilevel"/>
    <w:tmpl w:val="F2C037C2"/>
    <w:lvl w:ilvl="0" w:tplc="C4BCD996">
      <w:start w:val="1"/>
      <w:numFmt w:val="decimal"/>
      <w:lvlText w:val="%1)"/>
      <w:lvlJc w:val="left"/>
      <w:pPr>
        <w:tabs>
          <w:tab w:val="num" w:pos="360"/>
        </w:tabs>
        <w:ind w:left="360" w:hanging="360"/>
      </w:pPr>
      <w:rPr>
        <w:rFonts w:ascii="Stone Sans Bold" w:hAnsi="Stone Sans Bold" w:hint="default"/>
        <w:sz w:val="19"/>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681413F2"/>
    <w:multiLevelType w:val="hybridMultilevel"/>
    <w:tmpl w:val="3C62FAF2"/>
    <w:lvl w:ilvl="0" w:tplc="8AF2E4E2">
      <w:start w:val="1"/>
      <w:numFmt w:val="bullet"/>
      <w:lvlText w:val=""/>
      <w:lvlJc w:val="left"/>
      <w:pPr>
        <w:tabs>
          <w:tab w:val="num" w:pos="360"/>
        </w:tabs>
        <w:ind w:left="360" w:hanging="360"/>
      </w:pPr>
      <w:rPr>
        <w:rFonts w:ascii="Wingdings" w:hAnsi="Wingding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6C344501"/>
    <w:multiLevelType w:val="hybridMultilevel"/>
    <w:tmpl w:val="99806EFA"/>
    <w:lvl w:ilvl="0" w:tplc="0DF8485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5754E10"/>
    <w:multiLevelType w:val="hybridMultilevel"/>
    <w:tmpl w:val="12780BF0"/>
    <w:lvl w:ilvl="0" w:tplc="0409000F">
      <w:start w:val="1"/>
      <w:numFmt w:val="decimal"/>
      <w:lvlText w:val="%1."/>
      <w:lvlJc w:val="left"/>
      <w:pPr>
        <w:tabs>
          <w:tab w:val="num" w:pos="360"/>
        </w:tabs>
        <w:ind w:left="360" w:hanging="360"/>
      </w:pPr>
      <w:rPr>
        <w:rFonts w:ascii="Stone Sans Bold" w:hAnsi="Stone Sans Bold" w:hint="default"/>
        <w:b/>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5D0D0C"/>
    <w:multiLevelType w:val="hybridMultilevel"/>
    <w:tmpl w:val="95EAD652"/>
    <w:lvl w:ilvl="0" w:tplc="D8A862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D63BB0"/>
    <w:multiLevelType w:val="hybridMultilevel"/>
    <w:tmpl w:val="3620B184"/>
    <w:lvl w:ilvl="0" w:tplc="82D00AA0">
      <w:start w:val="1"/>
      <w:numFmt w:val="bullet"/>
      <w:lvlText w:val=""/>
      <w:lvlJc w:val="left"/>
      <w:pPr>
        <w:tabs>
          <w:tab w:val="num" w:pos="360"/>
        </w:tabs>
        <w:ind w:left="360" w:firstLine="32409"/>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2"/>
  </w:num>
  <w:num w:numId="3">
    <w:abstractNumId w:val="12"/>
  </w:num>
  <w:num w:numId="4">
    <w:abstractNumId w:val="20"/>
  </w:num>
  <w:num w:numId="5">
    <w:abstractNumId w:val="14"/>
  </w:num>
  <w:num w:numId="6">
    <w:abstractNumId w:val="21"/>
  </w:num>
  <w:num w:numId="7">
    <w:abstractNumId w:val="6"/>
  </w:num>
  <w:num w:numId="8">
    <w:abstractNumId w:val="15"/>
  </w:num>
  <w:num w:numId="9">
    <w:abstractNumId w:val="25"/>
  </w:num>
  <w:num w:numId="10">
    <w:abstractNumId w:val="7"/>
  </w:num>
  <w:num w:numId="11">
    <w:abstractNumId w:val="11"/>
  </w:num>
  <w:num w:numId="12">
    <w:abstractNumId w:val="13"/>
  </w:num>
  <w:num w:numId="13">
    <w:abstractNumId w:val="5"/>
  </w:num>
  <w:num w:numId="14">
    <w:abstractNumId w:val="16"/>
  </w:num>
  <w:num w:numId="15">
    <w:abstractNumId w:val="24"/>
  </w:num>
  <w:num w:numId="16">
    <w:abstractNumId w:val="6"/>
  </w:num>
  <w:num w:numId="17">
    <w:abstractNumId w:val="10"/>
  </w:num>
  <w:num w:numId="18">
    <w:abstractNumId w:val="8"/>
  </w:num>
  <w:num w:numId="19">
    <w:abstractNumId w:val="18"/>
  </w:num>
  <w:num w:numId="20">
    <w:abstractNumId w:val="17"/>
  </w:num>
  <w:num w:numId="21">
    <w:abstractNumId w:val="5"/>
  </w:num>
  <w:num w:numId="22">
    <w:abstractNumId w:val="12"/>
  </w:num>
  <w:num w:numId="23">
    <w:abstractNumId w:val="8"/>
  </w:num>
  <w:num w:numId="24">
    <w:abstractNumId w:val="20"/>
  </w:num>
  <w:num w:numId="25">
    <w:abstractNumId w:val="13"/>
  </w:num>
  <w:num w:numId="26">
    <w:abstractNumId w:val="0"/>
  </w:num>
  <w:num w:numId="27">
    <w:abstractNumId w:val="9"/>
  </w:num>
  <w:num w:numId="28">
    <w:abstractNumId w:val="2"/>
  </w:num>
  <w:num w:numId="29">
    <w:abstractNumId w:val="3"/>
  </w:num>
  <w:num w:numId="30">
    <w:abstractNumId w:val="23"/>
  </w:num>
  <w:num w:numId="31">
    <w:abstractNumId w:val="1"/>
  </w:num>
  <w:num w:numId="32">
    <w:abstractNumId w:val="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clickAndTypeStyle w:val="BodyText"/>
  <w:evenAndOddHeaders/>
  <w:drawingGridHorizontalSpacing w:val="110"/>
  <w:displayHorizontalDrawingGridEvery w:val="2"/>
  <w:noPunctuationKerning/>
  <w:characterSpacingControl w:val="doNotCompress"/>
  <w:footnotePr>
    <w:footnote w:id="-1"/>
    <w:footnote w:id="0"/>
  </w:footnotePr>
  <w:endnotePr>
    <w:endnote w:id="-1"/>
    <w:endnote w:id="0"/>
  </w:endnotePr>
  <w:compat>
    <w:spaceForUL/>
    <w:doNotExpandShiftReturn/>
  </w:compat>
  <w:rsids>
    <w:rsidRoot w:val="008631A6"/>
    <w:rsid w:val="00026200"/>
    <w:rsid w:val="000544E1"/>
    <w:rsid w:val="000819F8"/>
    <w:rsid w:val="000A7515"/>
    <w:rsid w:val="00130FEC"/>
    <w:rsid w:val="001368FE"/>
    <w:rsid w:val="00175538"/>
    <w:rsid w:val="00185686"/>
    <w:rsid w:val="00227748"/>
    <w:rsid w:val="00236963"/>
    <w:rsid w:val="002A45CA"/>
    <w:rsid w:val="002E70EC"/>
    <w:rsid w:val="002E7DE1"/>
    <w:rsid w:val="002F657D"/>
    <w:rsid w:val="00321AE1"/>
    <w:rsid w:val="00334E62"/>
    <w:rsid w:val="00345287"/>
    <w:rsid w:val="003609C4"/>
    <w:rsid w:val="00377294"/>
    <w:rsid w:val="003E6CFF"/>
    <w:rsid w:val="003F4689"/>
    <w:rsid w:val="004244E7"/>
    <w:rsid w:val="00426E05"/>
    <w:rsid w:val="00465F68"/>
    <w:rsid w:val="004A398E"/>
    <w:rsid w:val="004B7E0F"/>
    <w:rsid w:val="004C5BD2"/>
    <w:rsid w:val="00524BF6"/>
    <w:rsid w:val="00527CF9"/>
    <w:rsid w:val="005521AE"/>
    <w:rsid w:val="005A2FC0"/>
    <w:rsid w:val="00681A4E"/>
    <w:rsid w:val="006A30C6"/>
    <w:rsid w:val="006E6DDC"/>
    <w:rsid w:val="0071774F"/>
    <w:rsid w:val="00725416"/>
    <w:rsid w:val="00746E94"/>
    <w:rsid w:val="00751045"/>
    <w:rsid w:val="00777FD5"/>
    <w:rsid w:val="007A2646"/>
    <w:rsid w:val="007D280B"/>
    <w:rsid w:val="00836828"/>
    <w:rsid w:val="008631A6"/>
    <w:rsid w:val="008C1209"/>
    <w:rsid w:val="008C1F0F"/>
    <w:rsid w:val="008E19E5"/>
    <w:rsid w:val="008E5374"/>
    <w:rsid w:val="008E63C9"/>
    <w:rsid w:val="008F61F9"/>
    <w:rsid w:val="00920F73"/>
    <w:rsid w:val="00937CB1"/>
    <w:rsid w:val="009573C6"/>
    <w:rsid w:val="00964071"/>
    <w:rsid w:val="00970BA3"/>
    <w:rsid w:val="009A2584"/>
    <w:rsid w:val="009B07D8"/>
    <w:rsid w:val="009C5AA0"/>
    <w:rsid w:val="009D4164"/>
    <w:rsid w:val="009F2082"/>
    <w:rsid w:val="00A21F4C"/>
    <w:rsid w:val="00A5752F"/>
    <w:rsid w:val="00AA253B"/>
    <w:rsid w:val="00AD5E11"/>
    <w:rsid w:val="00AE0C3F"/>
    <w:rsid w:val="00B27046"/>
    <w:rsid w:val="00B5081A"/>
    <w:rsid w:val="00B7234F"/>
    <w:rsid w:val="00BD091E"/>
    <w:rsid w:val="00C12048"/>
    <w:rsid w:val="00C2778D"/>
    <w:rsid w:val="00C50B6E"/>
    <w:rsid w:val="00D05392"/>
    <w:rsid w:val="00D16713"/>
    <w:rsid w:val="00D2066D"/>
    <w:rsid w:val="00D24ED8"/>
    <w:rsid w:val="00D4248C"/>
    <w:rsid w:val="00D428E8"/>
    <w:rsid w:val="00D7119A"/>
    <w:rsid w:val="00D75B1D"/>
    <w:rsid w:val="00E04434"/>
    <w:rsid w:val="00ED5BB2"/>
    <w:rsid w:val="00EE1A3B"/>
    <w:rsid w:val="00F02BF8"/>
    <w:rsid w:val="00FA3E90"/>
    <w:rsid w:val="00FB1AB5"/>
    <w:rsid w:val="00FC1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1"/>
    <w:lsdException w:name="annotation text" w:uiPriority="0" w:unhideWhenUsed="1"/>
    <w:lsdException w:name="header" w:unhideWhenUsed="1"/>
    <w:lsdException w:name="footer" w:uiPriority="0" w:unhideWhenUsed="1"/>
    <w:lsdException w:name="caption" w:uiPriority="35" w:qFormat="1"/>
    <w:lsdException w:name="footnote reference" w:uiPriority="0" w:unhideWhenUsed="1"/>
    <w:lsdException w:name="annotation reference" w:uiPriority="0" w:unhideWhenUsed="1"/>
    <w:lsdException w:name="page number" w:uiPriority="0" w:unhideWhenUsed="1"/>
    <w:lsdException w:name="Title" w:uiPriority="10" w:qFormat="1"/>
    <w:lsdException w:name="Signature" w:uiPriority="0" w:unhideWhenUsed="1"/>
    <w:lsdException w:name="Default Paragraph Font" w:uiPriority="1" w:unhideWhenUsed="1"/>
    <w:lsdException w:name="Body Text" w:uiPriority="0" w:unhideWhenUsed="1"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E5374"/>
    <w:rPr>
      <w:rFonts w:ascii="AGaramond" w:hAnsi="AGaramond"/>
      <w:sz w:val="22"/>
      <w:szCs w:val="24"/>
    </w:rPr>
  </w:style>
  <w:style w:type="paragraph" w:styleId="Heading1">
    <w:name w:val="heading 1"/>
    <w:basedOn w:val="Normal"/>
    <w:next w:val="Normal"/>
    <w:qFormat/>
    <w:rsid w:val="00B7234F"/>
    <w:pPr>
      <w:keepNext/>
      <w:widowControl w:val="0"/>
      <w:suppressAutoHyphens/>
      <w:spacing w:before="360" w:after="520"/>
      <w:outlineLvl w:val="0"/>
    </w:pPr>
    <w:rPr>
      <w:rFonts w:ascii="StoneSansITC TT" w:hAnsi="StoneSansITC TT" w:cs="Arial"/>
      <w:b/>
      <w:bCs/>
      <w:spacing w:val="5"/>
      <w:kern w:val="39"/>
      <w:sz w:val="32"/>
      <w:szCs w:val="32"/>
    </w:rPr>
  </w:style>
  <w:style w:type="paragraph" w:styleId="Heading2">
    <w:name w:val="heading 2"/>
    <w:basedOn w:val="Normal"/>
    <w:next w:val="BodyText"/>
    <w:qFormat/>
    <w:rsid w:val="00B7234F"/>
    <w:pPr>
      <w:keepNext/>
      <w:keepLines/>
      <w:widowControl w:val="0"/>
      <w:suppressAutoHyphens/>
      <w:spacing w:before="120" w:after="120"/>
      <w:outlineLvl w:val="1"/>
    </w:pPr>
    <w:rPr>
      <w:rFonts w:ascii="StoneSansITC TT" w:hAnsi="StoneSansITC TT" w:cs="Arial"/>
      <w:b/>
      <w:bCs/>
      <w:iCs/>
      <w:spacing w:val="2"/>
      <w:sz w:val="21"/>
      <w:szCs w:val="28"/>
    </w:rPr>
  </w:style>
  <w:style w:type="paragraph" w:styleId="Heading3">
    <w:name w:val="heading 3"/>
    <w:basedOn w:val="Normal"/>
    <w:next w:val="Normal"/>
    <w:qFormat/>
    <w:rsid w:val="008E5374"/>
    <w:pPr>
      <w:keepNext/>
      <w:spacing w:after="240" w:line="280" w:lineRule="exact"/>
      <w:outlineLvl w:val="2"/>
    </w:pPr>
    <w:rPr>
      <w:rFonts w:ascii="StoneSansITC TT" w:hAnsi="StoneSansITC TT" w:cs="Arial"/>
      <w:b/>
      <w:bCs/>
      <w:sz w:val="19"/>
      <w:szCs w:val="26"/>
    </w:rPr>
  </w:style>
  <w:style w:type="paragraph" w:styleId="Heading4">
    <w:name w:val="heading 4"/>
    <w:basedOn w:val="Normal"/>
    <w:next w:val="Normal"/>
    <w:link w:val="Heading4Char"/>
    <w:qFormat/>
    <w:rsid w:val="008E5374"/>
    <w:pPr>
      <w:keepNext/>
      <w:spacing w:after="240" w:line="280" w:lineRule="exact"/>
      <w:outlineLvl w:val="3"/>
    </w:pPr>
    <w:rPr>
      <w:rFonts w:ascii="StoneSansSemiITC TT" w:eastAsiaTheme="minorEastAsia" w:hAnsi="StoneSansSemiITC TT" w:cstheme="minorBidi"/>
      <w:bCs/>
      <w:sz w:val="1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7234F"/>
    <w:rPr>
      <w:sz w:val="16"/>
      <w:szCs w:val="16"/>
    </w:rPr>
  </w:style>
  <w:style w:type="paragraph" w:styleId="BodyText">
    <w:name w:val="Body Text"/>
    <w:aliases w:val="b,BODY"/>
    <w:basedOn w:val="Normal"/>
    <w:link w:val="BodyTextChar"/>
    <w:qFormat/>
    <w:rsid w:val="00B7234F"/>
    <w:pPr>
      <w:spacing w:after="240" w:line="280" w:lineRule="exact"/>
    </w:pPr>
  </w:style>
  <w:style w:type="paragraph" w:styleId="CommentText">
    <w:name w:val="annotation text"/>
    <w:basedOn w:val="Normal"/>
    <w:semiHidden/>
    <w:rsid w:val="00B7234F"/>
    <w:pPr>
      <w:spacing w:before="60"/>
    </w:pPr>
    <w:rPr>
      <w:sz w:val="18"/>
      <w:szCs w:val="20"/>
    </w:rPr>
  </w:style>
  <w:style w:type="character" w:customStyle="1" w:styleId="Heading30">
    <w:name w:val="Heading3"/>
    <w:basedOn w:val="DefaultParagraphFont"/>
    <w:rsid w:val="00B7234F"/>
    <w:rPr>
      <w:rFonts w:ascii="StoneSansITC TT" w:hAnsi="StoneSansITC TT"/>
      <w:b/>
      <w:spacing w:val="2"/>
      <w:sz w:val="19"/>
    </w:rPr>
  </w:style>
  <w:style w:type="character" w:customStyle="1" w:styleId="Heading40">
    <w:name w:val="Heading4"/>
    <w:basedOn w:val="DefaultParagraphFont"/>
    <w:rsid w:val="00B7234F"/>
    <w:rPr>
      <w:rFonts w:ascii="StoneSansSemiITC TT" w:hAnsi="StoneSansSemiITC TT"/>
      <w:bCs/>
      <w:sz w:val="19"/>
    </w:rPr>
  </w:style>
  <w:style w:type="paragraph" w:customStyle="1" w:styleId="Quotation">
    <w:name w:val="Quotation"/>
    <w:basedOn w:val="BodyText"/>
    <w:next w:val="BodyText"/>
    <w:semiHidden/>
    <w:rsid w:val="00B7234F"/>
    <w:pPr>
      <w:ind w:left="720" w:right="720"/>
    </w:pPr>
  </w:style>
  <w:style w:type="paragraph" w:styleId="Footer">
    <w:name w:val="footer"/>
    <w:basedOn w:val="Normal"/>
    <w:rsid w:val="00B7234F"/>
    <w:pPr>
      <w:pBdr>
        <w:top w:val="single" w:sz="2" w:space="6" w:color="auto"/>
      </w:pBdr>
      <w:tabs>
        <w:tab w:val="right" w:pos="8640"/>
      </w:tabs>
    </w:pPr>
    <w:rPr>
      <w:rFonts w:ascii="StoneSansITC TT" w:hAnsi="StoneSansITC TT"/>
      <w:smallCaps/>
      <w:spacing w:val="6"/>
      <w:sz w:val="18"/>
    </w:rPr>
  </w:style>
  <w:style w:type="character" w:styleId="PageNumber">
    <w:name w:val="page number"/>
    <w:basedOn w:val="DefaultParagraphFont"/>
    <w:semiHidden/>
    <w:rsid w:val="00B7234F"/>
    <w:rPr>
      <w:rFonts w:ascii="StoneSansITC TT" w:hAnsi="StoneSansITC TT"/>
      <w:sz w:val="15"/>
    </w:rPr>
  </w:style>
  <w:style w:type="paragraph" w:styleId="FootnoteText">
    <w:name w:val="footnote text"/>
    <w:basedOn w:val="Normal"/>
    <w:rsid w:val="00B7234F"/>
    <w:pPr>
      <w:spacing w:before="60"/>
    </w:pPr>
    <w:rPr>
      <w:sz w:val="18"/>
      <w:szCs w:val="20"/>
    </w:rPr>
  </w:style>
  <w:style w:type="character" w:styleId="FootnoteReference">
    <w:name w:val="footnote reference"/>
    <w:basedOn w:val="DefaultParagraphFont"/>
    <w:semiHidden/>
    <w:rsid w:val="00B7234F"/>
    <w:rPr>
      <w:rFonts w:ascii="AGaramond" w:hAnsi="AGaramond"/>
      <w:sz w:val="24"/>
      <w:vertAlign w:val="superscript"/>
    </w:rPr>
  </w:style>
  <w:style w:type="paragraph" w:styleId="Header">
    <w:name w:val="header"/>
    <w:basedOn w:val="Normal"/>
    <w:semiHidden/>
    <w:rsid w:val="00836828"/>
    <w:pPr>
      <w:tabs>
        <w:tab w:val="center" w:pos="4320"/>
        <w:tab w:val="right" w:pos="8640"/>
      </w:tabs>
    </w:pPr>
  </w:style>
  <w:style w:type="paragraph" w:customStyle="1" w:styleId="Bullets2less">
    <w:name w:val="Bullets2 (less)"/>
    <w:basedOn w:val="Bullets2"/>
    <w:rsid w:val="00B5081A"/>
    <w:pPr>
      <w:spacing w:after="60"/>
    </w:pPr>
  </w:style>
  <w:style w:type="paragraph" w:customStyle="1" w:styleId="Bullets1">
    <w:name w:val="Bullets1"/>
    <w:basedOn w:val="Normal"/>
    <w:rsid w:val="00B5081A"/>
    <w:pPr>
      <w:numPr>
        <w:numId w:val="21"/>
      </w:numPr>
      <w:tabs>
        <w:tab w:val="clear" w:pos="360"/>
      </w:tabs>
      <w:spacing w:after="240" w:line="280" w:lineRule="exact"/>
      <w:ind w:right="720"/>
    </w:pPr>
  </w:style>
  <w:style w:type="paragraph" w:customStyle="1" w:styleId="Bullets2">
    <w:name w:val="Bullets2"/>
    <w:basedOn w:val="Normal"/>
    <w:rsid w:val="00B5081A"/>
    <w:pPr>
      <w:numPr>
        <w:numId w:val="23"/>
      </w:numPr>
      <w:tabs>
        <w:tab w:val="clear" w:pos="893"/>
      </w:tabs>
      <w:spacing w:after="240" w:line="280" w:lineRule="exact"/>
      <w:ind w:left="720" w:right="1080" w:hanging="360"/>
    </w:pPr>
  </w:style>
  <w:style w:type="paragraph" w:customStyle="1" w:styleId="Bullets1less">
    <w:name w:val="Bullets1 (less)"/>
    <w:basedOn w:val="Bullets1"/>
    <w:rsid w:val="00B5081A"/>
    <w:pPr>
      <w:numPr>
        <w:numId w:val="22"/>
      </w:numPr>
      <w:tabs>
        <w:tab w:val="clear" w:pos="360"/>
      </w:tabs>
      <w:spacing w:after="60"/>
    </w:pPr>
  </w:style>
  <w:style w:type="paragraph" w:customStyle="1" w:styleId="Numbers">
    <w:name w:val="Numbers"/>
    <w:basedOn w:val="BodyText"/>
    <w:rsid w:val="008E5374"/>
    <w:pPr>
      <w:numPr>
        <w:numId w:val="28"/>
      </w:numPr>
      <w:ind w:left="360"/>
    </w:pPr>
  </w:style>
  <w:style w:type="paragraph" w:customStyle="1" w:styleId="Numbersless">
    <w:name w:val="Numbers (less)"/>
    <w:basedOn w:val="Numbers"/>
    <w:rsid w:val="00B7234F"/>
    <w:pPr>
      <w:spacing w:after="60"/>
    </w:pPr>
  </w:style>
  <w:style w:type="paragraph" w:customStyle="1" w:styleId="ResBullet">
    <w:name w:val="Res Bullet"/>
    <w:basedOn w:val="Bullets1"/>
    <w:semiHidden/>
    <w:rsid w:val="00B7234F"/>
    <w:pPr>
      <w:numPr>
        <w:numId w:val="27"/>
      </w:numPr>
      <w:ind w:right="0"/>
    </w:pPr>
  </w:style>
  <w:style w:type="paragraph" w:customStyle="1" w:styleId="ResEducation">
    <w:name w:val="Res Education"/>
    <w:basedOn w:val="BodyText"/>
    <w:semiHidden/>
    <w:rsid w:val="00B7234F"/>
    <w:pPr>
      <w:spacing w:after="60"/>
      <w:ind w:left="446" w:hanging="446"/>
    </w:pPr>
  </w:style>
  <w:style w:type="paragraph" w:customStyle="1" w:styleId="ExTitle">
    <w:name w:val="Ex Title"/>
    <w:basedOn w:val="Normal"/>
    <w:next w:val="Normal"/>
    <w:rsid w:val="00B7234F"/>
    <w:pPr>
      <w:keepNext/>
      <w:widowControl w:val="0"/>
      <w:suppressAutoHyphens/>
      <w:spacing w:after="240" w:line="220" w:lineRule="exact"/>
      <w:ind w:right="216"/>
    </w:pPr>
    <w:rPr>
      <w:rFonts w:ascii="StoneSansITC TT" w:hAnsi="StoneSansITC TT"/>
      <w:b/>
      <w:bCs/>
      <w:sz w:val="18"/>
    </w:rPr>
  </w:style>
  <w:style w:type="paragraph" w:customStyle="1" w:styleId="a">
    <w:name w:val="a."/>
    <w:basedOn w:val="Bullets1"/>
    <w:autoRedefine/>
    <w:semiHidden/>
    <w:rsid w:val="00836828"/>
    <w:pPr>
      <w:numPr>
        <w:numId w:val="20"/>
      </w:numPr>
      <w:ind w:right="810"/>
    </w:pPr>
  </w:style>
  <w:style w:type="paragraph" w:customStyle="1" w:styleId="ExSmPaste">
    <w:name w:val="Ex Sm Paste"/>
    <w:basedOn w:val="Normal"/>
    <w:rsid w:val="00B7234F"/>
    <w:pPr>
      <w:widowControl w:val="0"/>
      <w:spacing w:before="20" w:after="20"/>
      <w:jc w:val="center"/>
    </w:pPr>
    <w:rPr>
      <w:rFonts w:ascii="StoneSansITC TT" w:hAnsi="StoneSansITC TT"/>
      <w:bCs/>
      <w:sz w:val="18"/>
    </w:rPr>
  </w:style>
  <w:style w:type="paragraph" w:customStyle="1" w:styleId="ExSmSource">
    <w:name w:val="Ex Sm Source"/>
    <w:basedOn w:val="BodyText"/>
    <w:rsid w:val="00B7234F"/>
    <w:pPr>
      <w:spacing w:before="60" w:after="0" w:line="240" w:lineRule="auto"/>
      <w:ind w:right="216"/>
    </w:pPr>
    <w:rPr>
      <w:rFonts w:ascii="StoneSansITC TT" w:hAnsi="StoneSansITC TT"/>
      <w:sz w:val="12"/>
    </w:rPr>
  </w:style>
  <w:style w:type="paragraph" w:customStyle="1" w:styleId="Bullets3">
    <w:name w:val="Bullets3"/>
    <w:basedOn w:val="Normal"/>
    <w:rsid w:val="00751045"/>
    <w:pPr>
      <w:numPr>
        <w:numId w:val="25"/>
      </w:numPr>
      <w:tabs>
        <w:tab w:val="clear" w:pos="1080"/>
      </w:tabs>
      <w:spacing w:after="240" w:line="280" w:lineRule="exact"/>
      <w:ind w:right="1440"/>
    </w:pPr>
  </w:style>
  <w:style w:type="paragraph" w:customStyle="1" w:styleId="Bullets3less">
    <w:name w:val="Bullets3 (less)"/>
    <w:basedOn w:val="Bullets3"/>
    <w:rsid w:val="00751045"/>
    <w:pPr>
      <w:spacing w:after="60"/>
    </w:pPr>
  </w:style>
  <w:style w:type="paragraph" w:customStyle="1" w:styleId="ColText">
    <w:name w:val="Col Text"/>
    <w:basedOn w:val="Normal"/>
    <w:rsid w:val="00B7234F"/>
    <w:pPr>
      <w:widowControl w:val="0"/>
      <w:jc w:val="right"/>
    </w:pPr>
    <w:rPr>
      <w:rFonts w:ascii="StoneSansITC TT" w:hAnsi="StoneSansITC TT"/>
      <w:bCs/>
      <w:sz w:val="16"/>
    </w:rPr>
  </w:style>
  <w:style w:type="paragraph" w:customStyle="1" w:styleId="Approved">
    <w:name w:val="Approved"/>
    <w:basedOn w:val="Normal"/>
    <w:next w:val="Normal"/>
    <w:semiHidden/>
    <w:rsid w:val="00B7234F"/>
    <w:pPr>
      <w:spacing w:after="160"/>
      <w:ind w:left="58"/>
    </w:pPr>
    <w:rPr>
      <w:rFonts w:ascii="StoneSansITC TT" w:hAnsi="StoneSansITC TT"/>
      <w:b/>
      <w:spacing w:val="2"/>
      <w:sz w:val="18"/>
    </w:rPr>
  </w:style>
  <w:style w:type="paragraph" w:customStyle="1" w:styleId="ExLgPaste">
    <w:name w:val="Ex Lg Paste"/>
    <w:basedOn w:val="Normal"/>
    <w:rsid w:val="00B7234F"/>
    <w:pPr>
      <w:widowControl w:val="0"/>
      <w:spacing w:before="20" w:after="20"/>
    </w:pPr>
    <w:rPr>
      <w:rFonts w:ascii="StoneSansITC TT" w:hAnsi="StoneSansITC TT"/>
      <w:sz w:val="18"/>
    </w:rPr>
  </w:style>
  <w:style w:type="paragraph" w:customStyle="1" w:styleId="ExLgSource">
    <w:name w:val="Ex Lg Source"/>
    <w:basedOn w:val="Normal"/>
    <w:rsid w:val="00B7234F"/>
    <w:pPr>
      <w:spacing w:after="60"/>
      <w:ind w:left="547" w:right="216" w:hanging="547"/>
    </w:pPr>
    <w:rPr>
      <w:rFonts w:ascii="StoneSansITC TT" w:hAnsi="StoneSansITC TT"/>
      <w:sz w:val="12"/>
    </w:rPr>
  </w:style>
  <w:style w:type="paragraph" w:customStyle="1" w:styleId="ColHeading">
    <w:name w:val="Col Heading"/>
    <w:basedOn w:val="Normal"/>
    <w:rsid w:val="00B7234F"/>
    <w:pPr>
      <w:widowControl w:val="0"/>
      <w:spacing w:before="120" w:after="120"/>
      <w:jc w:val="center"/>
    </w:pPr>
    <w:rPr>
      <w:rFonts w:ascii="StoneSansSemiITC TT" w:hAnsi="StoneSansSemiITC TT"/>
      <w:sz w:val="16"/>
    </w:rPr>
  </w:style>
  <w:style w:type="paragraph" w:styleId="Signature">
    <w:name w:val="Signature"/>
    <w:basedOn w:val="Normal"/>
    <w:link w:val="SignatureChar"/>
    <w:semiHidden/>
    <w:rsid w:val="00B7234F"/>
  </w:style>
  <w:style w:type="character" w:customStyle="1" w:styleId="SignatureChar">
    <w:name w:val="Signature Char"/>
    <w:basedOn w:val="DefaultParagraphFont"/>
    <w:link w:val="Signature"/>
    <w:semiHidden/>
    <w:rsid w:val="00B7234F"/>
    <w:rPr>
      <w:rFonts w:ascii="AGaramond" w:hAnsi="AGaramond"/>
      <w:sz w:val="22"/>
      <w:szCs w:val="24"/>
    </w:rPr>
  </w:style>
  <w:style w:type="character" w:customStyle="1" w:styleId="Heading4Char">
    <w:name w:val="Heading 4 Char"/>
    <w:basedOn w:val="DefaultParagraphFont"/>
    <w:link w:val="Heading4"/>
    <w:rsid w:val="008E5374"/>
    <w:rPr>
      <w:rFonts w:ascii="StoneSansSemiITC TT" w:eastAsiaTheme="minorEastAsia" w:hAnsi="StoneSansSemiITC TT" w:cstheme="minorBidi"/>
      <w:bCs/>
      <w:sz w:val="19"/>
      <w:szCs w:val="28"/>
    </w:rPr>
  </w:style>
  <w:style w:type="character" w:customStyle="1" w:styleId="BodyTextChar">
    <w:name w:val="Body Text Char"/>
    <w:aliases w:val="b Char,BODY Char"/>
    <w:basedOn w:val="DefaultParagraphFont"/>
    <w:link w:val="BodyText"/>
    <w:rsid w:val="008631A6"/>
    <w:rPr>
      <w:rFonts w:ascii="AGaramond" w:hAnsi="AGaramond"/>
      <w:sz w:val="22"/>
      <w:szCs w:val="24"/>
    </w:rPr>
  </w:style>
  <w:style w:type="paragraph" w:styleId="BalloonText">
    <w:name w:val="Balloon Text"/>
    <w:basedOn w:val="Normal"/>
    <w:link w:val="BalloonTextChar"/>
    <w:uiPriority w:val="99"/>
    <w:semiHidden/>
    <w:rsid w:val="008631A6"/>
    <w:rPr>
      <w:rFonts w:ascii="Tahoma" w:hAnsi="Tahoma" w:cs="Tahoma"/>
      <w:sz w:val="16"/>
      <w:szCs w:val="16"/>
    </w:rPr>
  </w:style>
  <w:style w:type="character" w:customStyle="1" w:styleId="BalloonTextChar">
    <w:name w:val="Balloon Text Char"/>
    <w:basedOn w:val="DefaultParagraphFont"/>
    <w:link w:val="BalloonText"/>
    <w:uiPriority w:val="99"/>
    <w:semiHidden/>
    <w:rsid w:val="00863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2009%20templates_AJW\Report%20P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704B-296C-4A61-979B-1D82C012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P2</Template>
  <TotalTime>2</TotalTime>
  <Pages>2</Pages>
  <Words>596</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P1</vt:lpstr>
    </vt:vector>
  </TitlesOfParts>
  <Company>BBC Research &amp; Consulting</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P1</dc:title>
  <dc:creator>Kathy Kugel</dc:creator>
  <cp:lastModifiedBy>kweissenberger</cp:lastModifiedBy>
  <cp:revision>2</cp:revision>
  <cp:lastPrinted>2011-05-11T18:34:00Z</cp:lastPrinted>
  <dcterms:created xsi:type="dcterms:W3CDTF">2013-01-11T19:27:00Z</dcterms:created>
  <dcterms:modified xsi:type="dcterms:W3CDTF">2013-01-11T19:27:00Z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500838557</vt:i4>
  </property>
</Properties>
</file>